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0A3E3C" w14:textId="5744B726" w:rsidR="00B744E1" w:rsidRPr="00B744E1" w:rsidRDefault="00B744E1" w:rsidP="00B744E1">
      <w:pPr>
        <w:spacing w:after="0"/>
        <w:jc w:val="right"/>
        <w:rPr>
          <w:rStyle w:val="Siln"/>
          <w:sz w:val="26"/>
          <w:szCs w:val="26"/>
        </w:rPr>
      </w:pPr>
      <w:r w:rsidRPr="00B744E1">
        <w:rPr>
          <w:rStyle w:val="Siln"/>
          <w:sz w:val="26"/>
          <w:szCs w:val="26"/>
        </w:rPr>
        <w:t>III.</w:t>
      </w:r>
    </w:p>
    <w:p w14:paraId="60026760" w14:textId="77777777" w:rsidR="00B744E1" w:rsidRDefault="00B744E1" w:rsidP="006B6661">
      <w:pPr>
        <w:spacing w:after="0"/>
        <w:jc w:val="center"/>
        <w:rPr>
          <w:rStyle w:val="Siln"/>
          <w:sz w:val="26"/>
          <w:szCs w:val="26"/>
          <w:u w:val="single"/>
        </w:rPr>
      </w:pPr>
    </w:p>
    <w:p w14:paraId="591E5484" w14:textId="5BC443C9" w:rsidR="00C07DEA" w:rsidRPr="00C07DEA" w:rsidRDefault="00CD2EB8" w:rsidP="00A8142D">
      <w:pPr>
        <w:spacing w:after="0"/>
        <w:jc w:val="center"/>
        <w:rPr>
          <w:rStyle w:val="Siln"/>
          <w:sz w:val="26"/>
          <w:szCs w:val="26"/>
          <w:u w:val="single"/>
        </w:rPr>
      </w:pPr>
      <w:r>
        <w:rPr>
          <w:rStyle w:val="Siln"/>
          <w:sz w:val="26"/>
          <w:szCs w:val="26"/>
          <w:u w:val="single"/>
        </w:rPr>
        <w:t xml:space="preserve">Závazky </w:t>
      </w:r>
      <w:r w:rsidR="00B779DC" w:rsidRPr="00C07DEA">
        <w:rPr>
          <w:rStyle w:val="Siln"/>
          <w:sz w:val="26"/>
          <w:szCs w:val="26"/>
          <w:u w:val="single"/>
        </w:rPr>
        <w:t xml:space="preserve">na zavedení </w:t>
      </w:r>
      <w:r w:rsidR="0057359C" w:rsidRPr="00C07DEA">
        <w:rPr>
          <w:rStyle w:val="Siln"/>
          <w:sz w:val="26"/>
          <w:szCs w:val="26"/>
          <w:u w:val="single"/>
        </w:rPr>
        <w:t>mech</w:t>
      </w:r>
      <w:r w:rsidR="00E84449" w:rsidRPr="00C07DEA">
        <w:rPr>
          <w:rStyle w:val="Siln"/>
          <w:sz w:val="26"/>
          <w:szCs w:val="26"/>
          <w:u w:val="single"/>
        </w:rPr>
        <w:t>a</w:t>
      </w:r>
      <w:r w:rsidR="0057359C" w:rsidRPr="00C07DEA">
        <w:rPr>
          <w:rStyle w:val="Siln"/>
          <w:sz w:val="26"/>
          <w:szCs w:val="26"/>
          <w:u w:val="single"/>
        </w:rPr>
        <w:t xml:space="preserve">nismu </w:t>
      </w:r>
      <w:r w:rsidR="00B779DC" w:rsidRPr="00C07DEA">
        <w:rPr>
          <w:rStyle w:val="Siln"/>
          <w:sz w:val="26"/>
          <w:szCs w:val="26"/>
          <w:u w:val="single"/>
        </w:rPr>
        <w:t xml:space="preserve">kontroly přiměřenosti </w:t>
      </w:r>
      <w:r w:rsidR="0057359C" w:rsidRPr="00C07DEA">
        <w:rPr>
          <w:rStyle w:val="Siln"/>
          <w:sz w:val="26"/>
          <w:szCs w:val="26"/>
          <w:u w:val="single"/>
        </w:rPr>
        <w:t xml:space="preserve">podpory </w:t>
      </w:r>
      <w:r w:rsidR="00E84449" w:rsidRPr="00C07DEA">
        <w:rPr>
          <w:rStyle w:val="Siln"/>
          <w:sz w:val="26"/>
          <w:szCs w:val="26"/>
          <w:u w:val="single"/>
        </w:rPr>
        <w:t>elektřiny z </w:t>
      </w:r>
      <w:r w:rsidR="00B779DC" w:rsidRPr="00C07DEA">
        <w:rPr>
          <w:rStyle w:val="Siln"/>
          <w:sz w:val="26"/>
          <w:szCs w:val="26"/>
          <w:u w:val="single"/>
        </w:rPr>
        <w:t>podporovaných</w:t>
      </w:r>
      <w:r w:rsidR="00E84449" w:rsidRPr="00C07DEA">
        <w:rPr>
          <w:rStyle w:val="Siln"/>
          <w:sz w:val="26"/>
          <w:szCs w:val="26"/>
          <w:u w:val="single"/>
        </w:rPr>
        <w:t xml:space="preserve"> zdrojů energie</w:t>
      </w:r>
    </w:p>
    <w:p w14:paraId="7B3A8A4C" w14:textId="77777777" w:rsidR="00F46286" w:rsidRPr="0046298A" w:rsidRDefault="00F46286">
      <w:pPr>
        <w:pStyle w:val="Normlnweb"/>
        <w:spacing w:before="0" w:beforeAutospacing="0" w:after="0" w:afterAutospacing="0"/>
        <w:jc w:val="center"/>
        <w:rPr>
          <w:rStyle w:val="Siln"/>
          <w:rFonts w:asciiTheme="minorHAnsi" w:hAnsiTheme="minorHAnsi"/>
          <w:u w:val="single"/>
        </w:rPr>
      </w:pPr>
    </w:p>
    <w:p w14:paraId="1151D26B" w14:textId="75EACD7D" w:rsidR="00487987" w:rsidRDefault="005D5E46" w:rsidP="00997F8E">
      <w:pPr>
        <w:pStyle w:val="Nadpis1"/>
        <w:numPr>
          <w:ilvl w:val="0"/>
          <w:numId w:val="24"/>
        </w:numPr>
        <w:ind w:left="426" w:hanging="426"/>
        <w:rPr>
          <w:rFonts w:asciiTheme="majorHAnsi" w:hAnsiTheme="majorHAnsi"/>
          <w:sz w:val="32"/>
          <w:szCs w:val="32"/>
        </w:rPr>
      </w:pPr>
      <w:bookmarkStart w:id="0" w:name="_Toc476517915"/>
      <w:r w:rsidRPr="00FD48F4">
        <w:rPr>
          <w:rFonts w:asciiTheme="majorHAnsi" w:hAnsiTheme="majorHAnsi"/>
          <w:sz w:val="32"/>
          <w:szCs w:val="32"/>
        </w:rPr>
        <w:t>Obsah</w:t>
      </w:r>
      <w:bookmarkEnd w:id="0"/>
    </w:p>
    <w:sdt>
      <w:sdtPr>
        <w:rPr>
          <w:rFonts w:asciiTheme="minorHAnsi" w:eastAsia="Times New Roman" w:hAnsiTheme="minorHAnsi" w:cs="Times New Roman"/>
          <w:b w:val="0"/>
          <w:color w:val="auto"/>
          <w:sz w:val="22"/>
          <w:szCs w:val="20"/>
          <w:lang w:eastAsia="cs-CZ"/>
        </w:rPr>
        <w:id w:val="1318305880"/>
        <w:docPartObj>
          <w:docPartGallery w:val="Table of Contents"/>
          <w:docPartUnique/>
        </w:docPartObj>
      </w:sdtPr>
      <w:sdtEndPr>
        <w:rPr>
          <w:bCs/>
        </w:rPr>
      </w:sdtEndPr>
      <w:sdtContent>
        <w:p w14:paraId="79329EFA" w14:textId="3B844398" w:rsidR="00345ADE" w:rsidRDefault="00345ADE">
          <w:pPr>
            <w:pStyle w:val="Nadpisobsahu"/>
          </w:pPr>
        </w:p>
        <w:p w14:paraId="33219A3D" w14:textId="4053C981" w:rsidR="00345ADE" w:rsidRDefault="00345ADE" w:rsidP="00E32A4B">
          <w:pPr>
            <w:pStyle w:val="Obsah1"/>
            <w:rPr>
              <w:rFonts w:eastAsiaTheme="minorEastAsia"/>
              <w:noProof/>
              <w:color w:val="auto"/>
              <w:lang w:eastAsia="cs-CZ"/>
            </w:rPr>
          </w:pPr>
          <w:r>
            <w:fldChar w:fldCharType="begin"/>
          </w:r>
          <w:r>
            <w:instrText xml:space="preserve"> TOC \o "1-3" \h \z \u </w:instrText>
          </w:r>
          <w:r>
            <w:fldChar w:fldCharType="separate"/>
          </w:r>
          <w:hyperlink w:anchor="_Toc476517915" w:history="1">
            <w:r w:rsidRPr="006564D9">
              <w:rPr>
                <w:rStyle w:val="Hypertextovodkaz"/>
                <w:rFonts w:asciiTheme="majorHAnsi" w:hAnsiTheme="majorHAnsi"/>
                <w:noProof/>
              </w:rPr>
              <w:t>1.</w:t>
            </w:r>
            <w:r>
              <w:rPr>
                <w:rFonts w:eastAsiaTheme="minorEastAsia"/>
                <w:noProof/>
                <w:color w:val="auto"/>
                <w:lang w:eastAsia="cs-CZ"/>
              </w:rPr>
              <w:tab/>
            </w:r>
            <w:r w:rsidRPr="006564D9">
              <w:rPr>
                <w:rStyle w:val="Hypertextovodkaz"/>
                <w:rFonts w:asciiTheme="majorHAnsi" w:hAnsiTheme="majorHAnsi"/>
                <w:noProof/>
              </w:rPr>
              <w:t>Obsah</w:t>
            </w:r>
            <w:r>
              <w:rPr>
                <w:noProof/>
                <w:webHidden/>
              </w:rPr>
              <w:tab/>
            </w:r>
            <w:r>
              <w:rPr>
                <w:noProof/>
                <w:webHidden/>
              </w:rPr>
              <w:fldChar w:fldCharType="begin"/>
            </w:r>
            <w:r>
              <w:rPr>
                <w:noProof/>
                <w:webHidden/>
              </w:rPr>
              <w:instrText xml:space="preserve"> PAGEREF _Toc476517915 \h </w:instrText>
            </w:r>
            <w:r>
              <w:rPr>
                <w:noProof/>
                <w:webHidden/>
              </w:rPr>
            </w:r>
            <w:r>
              <w:rPr>
                <w:noProof/>
                <w:webHidden/>
              </w:rPr>
              <w:fldChar w:fldCharType="separate"/>
            </w:r>
            <w:r w:rsidR="00FA7B72">
              <w:rPr>
                <w:noProof/>
                <w:webHidden/>
              </w:rPr>
              <w:t>1</w:t>
            </w:r>
            <w:r>
              <w:rPr>
                <w:noProof/>
                <w:webHidden/>
              </w:rPr>
              <w:fldChar w:fldCharType="end"/>
            </w:r>
          </w:hyperlink>
        </w:p>
        <w:p w14:paraId="2B26E643" w14:textId="30D683CF" w:rsidR="00345ADE" w:rsidRDefault="00034AD2" w:rsidP="00E32A4B">
          <w:pPr>
            <w:pStyle w:val="Obsah1"/>
            <w:rPr>
              <w:rFonts w:eastAsiaTheme="minorEastAsia"/>
              <w:noProof/>
              <w:color w:val="auto"/>
              <w:lang w:eastAsia="cs-CZ"/>
            </w:rPr>
          </w:pPr>
          <w:hyperlink w:anchor="_Toc476517916" w:history="1">
            <w:r w:rsidR="00345ADE" w:rsidRPr="006564D9">
              <w:rPr>
                <w:rStyle w:val="Hypertextovodkaz"/>
                <w:rFonts w:asciiTheme="majorHAnsi" w:hAnsiTheme="majorHAnsi"/>
                <w:noProof/>
              </w:rPr>
              <w:t>2.</w:t>
            </w:r>
            <w:r w:rsidR="00345ADE">
              <w:rPr>
                <w:rFonts w:eastAsiaTheme="minorEastAsia"/>
                <w:noProof/>
                <w:color w:val="auto"/>
                <w:lang w:eastAsia="cs-CZ"/>
              </w:rPr>
              <w:tab/>
            </w:r>
            <w:r w:rsidR="00345ADE" w:rsidRPr="006564D9">
              <w:rPr>
                <w:rStyle w:val="Hypertextovodkaz"/>
                <w:rFonts w:asciiTheme="majorHAnsi" w:hAnsiTheme="majorHAnsi"/>
                <w:noProof/>
              </w:rPr>
              <w:t>Manažérské shrnutí:</w:t>
            </w:r>
            <w:r w:rsidR="00345ADE">
              <w:rPr>
                <w:noProof/>
                <w:webHidden/>
              </w:rPr>
              <w:tab/>
            </w:r>
            <w:r w:rsidR="00345ADE">
              <w:rPr>
                <w:noProof/>
                <w:webHidden/>
              </w:rPr>
              <w:fldChar w:fldCharType="begin"/>
            </w:r>
            <w:r w:rsidR="00345ADE">
              <w:rPr>
                <w:noProof/>
                <w:webHidden/>
              </w:rPr>
              <w:instrText xml:space="preserve"> PAGEREF _Toc476517916 \h </w:instrText>
            </w:r>
            <w:r w:rsidR="00345ADE">
              <w:rPr>
                <w:noProof/>
                <w:webHidden/>
              </w:rPr>
            </w:r>
            <w:r w:rsidR="00345ADE">
              <w:rPr>
                <w:noProof/>
                <w:webHidden/>
              </w:rPr>
              <w:fldChar w:fldCharType="separate"/>
            </w:r>
            <w:r w:rsidR="00FA7B72">
              <w:rPr>
                <w:noProof/>
                <w:webHidden/>
              </w:rPr>
              <w:t>2</w:t>
            </w:r>
            <w:r w:rsidR="00345ADE">
              <w:rPr>
                <w:noProof/>
                <w:webHidden/>
              </w:rPr>
              <w:fldChar w:fldCharType="end"/>
            </w:r>
          </w:hyperlink>
        </w:p>
        <w:p w14:paraId="0E5C527D" w14:textId="2B8E5BC3" w:rsidR="00345ADE" w:rsidRDefault="00034AD2" w:rsidP="00E32A4B">
          <w:pPr>
            <w:pStyle w:val="Obsah1"/>
            <w:rPr>
              <w:rFonts w:eastAsiaTheme="minorEastAsia"/>
              <w:noProof/>
              <w:color w:val="auto"/>
              <w:lang w:eastAsia="cs-CZ"/>
            </w:rPr>
          </w:pPr>
          <w:hyperlink w:anchor="_Toc476517917" w:history="1">
            <w:r w:rsidR="00345ADE" w:rsidRPr="006564D9">
              <w:rPr>
                <w:rStyle w:val="Hypertextovodkaz"/>
                <w:rFonts w:asciiTheme="majorHAnsi" w:hAnsiTheme="majorHAnsi"/>
                <w:noProof/>
              </w:rPr>
              <w:t>3.</w:t>
            </w:r>
            <w:r w:rsidR="00345ADE">
              <w:rPr>
                <w:rFonts w:eastAsiaTheme="minorEastAsia"/>
                <w:noProof/>
                <w:color w:val="auto"/>
                <w:lang w:eastAsia="cs-CZ"/>
              </w:rPr>
              <w:tab/>
            </w:r>
            <w:r w:rsidR="00345ADE" w:rsidRPr="006564D9">
              <w:rPr>
                <w:rStyle w:val="Hypertextovodkaz"/>
                <w:rFonts w:asciiTheme="majorHAnsi" w:hAnsiTheme="majorHAnsi"/>
                <w:noProof/>
              </w:rPr>
              <w:t>Závazky k</w:t>
            </w:r>
            <w:r w:rsidR="00E84449">
              <w:rPr>
                <w:rStyle w:val="Hypertextovodkaz"/>
                <w:rFonts w:asciiTheme="majorHAnsi" w:hAnsiTheme="majorHAnsi"/>
                <w:noProof/>
              </w:rPr>
              <w:t xml:space="preserve"> mech</w:t>
            </w:r>
            <w:r w:rsidR="00A8142D">
              <w:rPr>
                <w:rStyle w:val="Hypertextovodkaz"/>
                <w:rFonts w:asciiTheme="majorHAnsi" w:hAnsiTheme="majorHAnsi"/>
                <w:noProof/>
              </w:rPr>
              <w:t>a</w:t>
            </w:r>
            <w:r w:rsidR="00E84449">
              <w:rPr>
                <w:rStyle w:val="Hypertextovodkaz"/>
                <w:rFonts w:asciiTheme="majorHAnsi" w:hAnsiTheme="majorHAnsi"/>
                <w:noProof/>
              </w:rPr>
              <w:t>nismu</w:t>
            </w:r>
            <w:r w:rsidR="00345ADE" w:rsidRPr="006564D9">
              <w:rPr>
                <w:rStyle w:val="Hypertextovodkaz"/>
                <w:rFonts w:asciiTheme="majorHAnsi" w:hAnsiTheme="majorHAnsi"/>
                <w:noProof/>
              </w:rPr>
              <w:t> </w:t>
            </w:r>
            <w:r w:rsidR="00777AA3">
              <w:rPr>
                <w:rStyle w:val="Hypertextovodkaz"/>
                <w:rFonts w:asciiTheme="majorHAnsi" w:hAnsiTheme="majorHAnsi"/>
                <w:noProof/>
              </w:rPr>
              <w:t xml:space="preserve">kontroly přiměřenosti </w:t>
            </w:r>
            <w:r w:rsidR="00E84449" w:rsidRPr="006564D9">
              <w:rPr>
                <w:rStyle w:val="Hypertextovodkaz"/>
                <w:rFonts w:asciiTheme="majorHAnsi" w:hAnsiTheme="majorHAnsi"/>
                <w:noProof/>
              </w:rPr>
              <w:t xml:space="preserve"> </w:t>
            </w:r>
            <w:r w:rsidR="00345ADE" w:rsidRPr="006564D9">
              <w:rPr>
                <w:rStyle w:val="Hypertextovodkaz"/>
                <w:rFonts w:asciiTheme="majorHAnsi" w:hAnsiTheme="majorHAnsi"/>
                <w:noProof/>
              </w:rPr>
              <w:t>podpory vyplývající pro ČR z rozhodnutí Evropské komise</w:t>
            </w:r>
            <w:r w:rsidR="00345ADE">
              <w:rPr>
                <w:noProof/>
                <w:webHidden/>
              </w:rPr>
              <w:tab/>
            </w:r>
            <w:r w:rsidR="00345ADE">
              <w:rPr>
                <w:noProof/>
                <w:webHidden/>
              </w:rPr>
              <w:fldChar w:fldCharType="begin"/>
            </w:r>
            <w:r w:rsidR="00345ADE">
              <w:rPr>
                <w:noProof/>
                <w:webHidden/>
              </w:rPr>
              <w:instrText xml:space="preserve"> PAGEREF _Toc476517917 \h </w:instrText>
            </w:r>
            <w:r w:rsidR="00345ADE">
              <w:rPr>
                <w:noProof/>
                <w:webHidden/>
              </w:rPr>
            </w:r>
            <w:r w:rsidR="00345ADE">
              <w:rPr>
                <w:noProof/>
                <w:webHidden/>
              </w:rPr>
              <w:fldChar w:fldCharType="separate"/>
            </w:r>
            <w:r w:rsidR="00FA7B72">
              <w:rPr>
                <w:noProof/>
                <w:webHidden/>
              </w:rPr>
              <w:t>5</w:t>
            </w:r>
            <w:r w:rsidR="00345ADE">
              <w:rPr>
                <w:noProof/>
                <w:webHidden/>
              </w:rPr>
              <w:fldChar w:fldCharType="end"/>
            </w:r>
          </w:hyperlink>
        </w:p>
        <w:p w14:paraId="06D53717" w14:textId="71E996A0" w:rsidR="00345ADE" w:rsidRDefault="00034AD2" w:rsidP="00E32A4B">
          <w:pPr>
            <w:pStyle w:val="Obsah1"/>
            <w:rPr>
              <w:rFonts w:eastAsiaTheme="minorEastAsia"/>
              <w:noProof/>
              <w:color w:val="auto"/>
              <w:lang w:eastAsia="cs-CZ"/>
            </w:rPr>
          </w:pPr>
          <w:hyperlink w:anchor="_Toc476517918" w:history="1">
            <w:r w:rsidR="00345ADE" w:rsidRPr="006564D9">
              <w:rPr>
                <w:rStyle w:val="Hypertextovodkaz"/>
                <w:rFonts w:asciiTheme="majorHAnsi" w:hAnsiTheme="majorHAnsi"/>
                <w:noProof/>
              </w:rPr>
              <w:t>4.</w:t>
            </w:r>
            <w:r w:rsidR="00345ADE">
              <w:rPr>
                <w:rFonts w:eastAsiaTheme="minorEastAsia"/>
                <w:noProof/>
                <w:color w:val="auto"/>
                <w:lang w:eastAsia="cs-CZ"/>
              </w:rPr>
              <w:tab/>
            </w:r>
            <w:r w:rsidR="00345ADE" w:rsidRPr="006564D9">
              <w:rPr>
                <w:rStyle w:val="Hypertextovodkaz"/>
                <w:rFonts w:asciiTheme="majorHAnsi" w:hAnsiTheme="majorHAnsi"/>
                <w:noProof/>
              </w:rPr>
              <w:t xml:space="preserve">Porovnání závazku týkajícího se </w:t>
            </w:r>
            <w:r w:rsidR="00E84449">
              <w:rPr>
                <w:rStyle w:val="Hypertextovodkaz"/>
                <w:rFonts w:asciiTheme="majorHAnsi" w:hAnsiTheme="majorHAnsi"/>
                <w:noProof/>
              </w:rPr>
              <w:t>mech</w:t>
            </w:r>
            <w:r w:rsidR="00A8142D">
              <w:rPr>
                <w:rStyle w:val="Hypertextovodkaz"/>
                <w:rFonts w:asciiTheme="majorHAnsi" w:hAnsiTheme="majorHAnsi"/>
                <w:noProof/>
              </w:rPr>
              <w:t>a</w:t>
            </w:r>
            <w:r w:rsidR="00E84449">
              <w:rPr>
                <w:rStyle w:val="Hypertextovodkaz"/>
                <w:rFonts w:asciiTheme="majorHAnsi" w:hAnsiTheme="majorHAnsi"/>
                <w:noProof/>
              </w:rPr>
              <w:t xml:space="preserve">nismu </w:t>
            </w:r>
            <w:r w:rsidR="00777AA3">
              <w:rPr>
                <w:rStyle w:val="Hypertextovodkaz"/>
                <w:rFonts w:asciiTheme="majorHAnsi" w:hAnsiTheme="majorHAnsi"/>
                <w:noProof/>
              </w:rPr>
              <w:t xml:space="preserve">kontroly přiměřenosti </w:t>
            </w:r>
            <w:r w:rsidR="00345ADE" w:rsidRPr="006564D9">
              <w:rPr>
                <w:rStyle w:val="Hypertextovodkaz"/>
                <w:rFonts w:asciiTheme="majorHAnsi" w:hAnsiTheme="majorHAnsi"/>
                <w:noProof/>
              </w:rPr>
              <w:t>podpory pro ČR s ostatními členskými státy EU</w:t>
            </w:r>
            <w:r w:rsidR="00345ADE">
              <w:rPr>
                <w:noProof/>
                <w:webHidden/>
              </w:rPr>
              <w:tab/>
            </w:r>
            <w:r w:rsidR="00345ADE">
              <w:rPr>
                <w:noProof/>
                <w:webHidden/>
              </w:rPr>
              <w:fldChar w:fldCharType="begin"/>
            </w:r>
            <w:r w:rsidR="00345ADE">
              <w:rPr>
                <w:noProof/>
                <w:webHidden/>
              </w:rPr>
              <w:instrText xml:space="preserve"> PAGEREF _Toc476517918 \h </w:instrText>
            </w:r>
            <w:r w:rsidR="00345ADE">
              <w:rPr>
                <w:noProof/>
                <w:webHidden/>
              </w:rPr>
            </w:r>
            <w:r w:rsidR="00345ADE">
              <w:rPr>
                <w:noProof/>
                <w:webHidden/>
              </w:rPr>
              <w:fldChar w:fldCharType="separate"/>
            </w:r>
            <w:r w:rsidR="00FA7B72">
              <w:rPr>
                <w:noProof/>
                <w:webHidden/>
              </w:rPr>
              <w:t>13</w:t>
            </w:r>
            <w:r w:rsidR="00345ADE">
              <w:rPr>
                <w:noProof/>
                <w:webHidden/>
              </w:rPr>
              <w:fldChar w:fldCharType="end"/>
            </w:r>
          </w:hyperlink>
        </w:p>
        <w:p w14:paraId="3CAF313E" w14:textId="1A776AFB" w:rsidR="00345ADE" w:rsidRDefault="00034AD2" w:rsidP="00E32A4B">
          <w:pPr>
            <w:pStyle w:val="Obsah1"/>
            <w:rPr>
              <w:rFonts w:eastAsiaTheme="minorEastAsia"/>
              <w:noProof/>
              <w:color w:val="auto"/>
              <w:lang w:eastAsia="cs-CZ"/>
            </w:rPr>
          </w:pPr>
          <w:hyperlink w:anchor="_Toc476517919" w:history="1">
            <w:r w:rsidR="00345ADE" w:rsidRPr="006564D9">
              <w:rPr>
                <w:rStyle w:val="Hypertextovodkaz"/>
                <w:rFonts w:asciiTheme="majorHAnsi" w:hAnsiTheme="majorHAnsi"/>
                <w:noProof/>
              </w:rPr>
              <w:t>5.</w:t>
            </w:r>
            <w:r w:rsidR="00345ADE">
              <w:rPr>
                <w:rFonts w:eastAsiaTheme="minorEastAsia"/>
                <w:noProof/>
                <w:color w:val="auto"/>
                <w:lang w:eastAsia="cs-CZ"/>
              </w:rPr>
              <w:tab/>
            </w:r>
            <w:r w:rsidR="00345ADE" w:rsidRPr="006564D9">
              <w:rPr>
                <w:rStyle w:val="Hypertextovodkaz"/>
                <w:rFonts w:asciiTheme="majorHAnsi" w:hAnsiTheme="majorHAnsi"/>
                <w:noProof/>
              </w:rPr>
              <w:t xml:space="preserve">Podrobnější popis závazku </w:t>
            </w:r>
            <w:r w:rsidR="00E84449">
              <w:rPr>
                <w:rStyle w:val="Hypertextovodkaz"/>
                <w:rFonts w:asciiTheme="majorHAnsi" w:hAnsiTheme="majorHAnsi"/>
                <w:noProof/>
              </w:rPr>
              <w:t xml:space="preserve">pro </w:t>
            </w:r>
            <w:r w:rsidR="00345ADE" w:rsidRPr="006564D9">
              <w:rPr>
                <w:rStyle w:val="Hypertextovodkaz"/>
                <w:rFonts w:asciiTheme="majorHAnsi" w:hAnsiTheme="majorHAnsi"/>
                <w:noProof/>
              </w:rPr>
              <w:t>ČR</w:t>
            </w:r>
            <w:r w:rsidR="00E32A4B">
              <w:rPr>
                <w:rStyle w:val="Hypertextovodkaz"/>
                <w:rFonts w:asciiTheme="majorHAnsi" w:hAnsiTheme="majorHAnsi"/>
                <w:noProof/>
              </w:rPr>
              <w:t xml:space="preserve"> </w:t>
            </w:r>
            <w:r w:rsidR="00E84449">
              <w:rPr>
                <w:rStyle w:val="Hypertextovodkaz"/>
                <w:rFonts w:asciiTheme="majorHAnsi" w:hAnsiTheme="majorHAnsi"/>
                <w:noProof/>
              </w:rPr>
              <w:t>k</w:t>
            </w:r>
            <w:r w:rsidR="00345ADE" w:rsidRPr="006564D9">
              <w:rPr>
                <w:rStyle w:val="Hypertextovodkaz"/>
                <w:rFonts w:asciiTheme="majorHAnsi" w:hAnsiTheme="majorHAnsi"/>
                <w:noProof/>
              </w:rPr>
              <w:t xml:space="preserve"> </w:t>
            </w:r>
            <w:r w:rsidR="00E84449">
              <w:rPr>
                <w:rStyle w:val="Hypertextovodkaz"/>
                <w:rFonts w:asciiTheme="majorHAnsi" w:hAnsiTheme="majorHAnsi"/>
                <w:noProof/>
              </w:rPr>
              <w:t>mech</w:t>
            </w:r>
            <w:r w:rsidR="00A8142D">
              <w:rPr>
                <w:rStyle w:val="Hypertextovodkaz"/>
                <w:rFonts w:asciiTheme="majorHAnsi" w:hAnsiTheme="majorHAnsi"/>
                <w:noProof/>
              </w:rPr>
              <w:t>a</w:t>
            </w:r>
            <w:r w:rsidR="00E84449">
              <w:rPr>
                <w:rStyle w:val="Hypertextovodkaz"/>
                <w:rFonts w:asciiTheme="majorHAnsi" w:hAnsiTheme="majorHAnsi"/>
                <w:noProof/>
              </w:rPr>
              <w:t xml:space="preserve">nismu </w:t>
            </w:r>
            <w:r w:rsidR="00777AA3">
              <w:rPr>
                <w:rStyle w:val="Hypertextovodkaz"/>
                <w:rFonts w:asciiTheme="majorHAnsi" w:hAnsiTheme="majorHAnsi"/>
                <w:noProof/>
              </w:rPr>
              <w:t xml:space="preserve">kontroly přiměřenosti </w:t>
            </w:r>
            <w:r w:rsidR="00345ADE" w:rsidRPr="006564D9">
              <w:rPr>
                <w:rStyle w:val="Hypertextovodkaz"/>
                <w:rFonts w:asciiTheme="majorHAnsi" w:hAnsiTheme="majorHAnsi"/>
                <w:noProof/>
              </w:rPr>
              <w:t xml:space="preserve"> podpory</w:t>
            </w:r>
            <w:r w:rsidR="00345ADE">
              <w:rPr>
                <w:noProof/>
                <w:webHidden/>
              </w:rPr>
              <w:tab/>
            </w:r>
            <w:r w:rsidR="00345ADE">
              <w:rPr>
                <w:noProof/>
                <w:webHidden/>
              </w:rPr>
              <w:fldChar w:fldCharType="begin"/>
            </w:r>
            <w:r w:rsidR="00345ADE">
              <w:rPr>
                <w:noProof/>
                <w:webHidden/>
              </w:rPr>
              <w:instrText xml:space="preserve"> PAGEREF _Toc476517919 \h </w:instrText>
            </w:r>
            <w:r w:rsidR="00345ADE">
              <w:rPr>
                <w:noProof/>
                <w:webHidden/>
              </w:rPr>
            </w:r>
            <w:r w:rsidR="00345ADE">
              <w:rPr>
                <w:noProof/>
                <w:webHidden/>
              </w:rPr>
              <w:fldChar w:fldCharType="separate"/>
            </w:r>
            <w:r w:rsidR="00FA7B72">
              <w:rPr>
                <w:noProof/>
                <w:webHidden/>
              </w:rPr>
              <w:t>17</w:t>
            </w:r>
            <w:r w:rsidR="00345ADE">
              <w:rPr>
                <w:noProof/>
                <w:webHidden/>
              </w:rPr>
              <w:fldChar w:fldCharType="end"/>
            </w:r>
          </w:hyperlink>
        </w:p>
        <w:p w14:paraId="2800E0BB" w14:textId="2BEA47AA" w:rsidR="00345ADE" w:rsidRDefault="00034AD2" w:rsidP="00E32A4B">
          <w:pPr>
            <w:pStyle w:val="Obsah1"/>
            <w:rPr>
              <w:rFonts w:eastAsiaTheme="minorEastAsia"/>
              <w:noProof/>
              <w:color w:val="auto"/>
              <w:lang w:eastAsia="cs-CZ"/>
            </w:rPr>
          </w:pPr>
          <w:hyperlink w:anchor="_Toc476517920" w:history="1">
            <w:r w:rsidR="00345ADE" w:rsidRPr="006564D9">
              <w:rPr>
                <w:rStyle w:val="Hypertextovodkaz"/>
                <w:rFonts w:asciiTheme="majorHAnsi" w:hAnsiTheme="majorHAnsi"/>
                <w:noProof/>
              </w:rPr>
              <w:t>6.</w:t>
            </w:r>
            <w:r w:rsidR="00345ADE">
              <w:rPr>
                <w:rFonts w:eastAsiaTheme="minorEastAsia"/>
                <w:noProof/>
                <w:color w:val="auto"/>
                <w:lang w:eastAsia="cs-CZ"/>
              </w:rPr>
              <w:tab/>
            </w:r>
            <w:r w:rsidR="00345ADE" w:rsidRPr="006564D9">
              <w:rPr>
                <w:rStyle w:val="Hypertextovodkaz"/>
                <w:rFonts w:asciiTheme="majorHAnsi" w:hAnsiTheme="majorHAnsi"/>
                <w:noProof/>
              </w:rPr>
              <w:t xml:space="preserve">Vazba závazku </w:t>
            </w:r>
            <w:r w:rsidR="00E84449">
              <w:rPr>
                <w:rStyle w:val="Hypertextovodkaz"/>
                <w:rFonts w:asciiTheme="majorHAnsi" w:hAnsiTheme="majorHAnsi"/>
                <w:noProof/>
              </w:rPr>
              <w:t>k mech</w:t>
            </w:r>
            <w:r w:rsidR="00A8142D">
              <w:rPr>
                <w:rStyle w:val="Hypertextovodkaz"/>
                <w:rFonts w:asciiTheme="majorHAnsi" w:hAnsiTheme="majorHAnsi"/>
                <w:noProof/>
              </w:rPr>
              <w:t>a</w:t>
            </w:r>
            <w:r w:rsidR="00E84449">
              <w:rPr>
                <w:rStyle w:val="Hypertextovodkaz"/>
                <w:rFonts w:asciiTheme="majorHAnsi" w:hAnsiTheme="majorHAnsi"/>
                <w:noProof/>
              </w:rPr>
              <w:t xml:space="preserve">nismu </w:t>
            </w:r>
            <w:r w:rsidR="00777AA3">
              <w:rPr>
                <w:rStyle w:val="Hypertextovodkaz"/>
                <w:rFonts w:asciiTheme="majorHAnsi" w:hAnsiTheme="majorHAnsi"/>
                <w:noProof/>
              </w:rPr>
              <w:t xml:space="preserve">kontroly přiměřenosti </w:t>
            </w:r>
            <w:r w:rsidR="00E84449" w:rsidRPr="006564D9">
              <w:rPr>
                <w:rStyle w:val="Hypertextovodkaz"/>
                <w:rFonts w:asciiTheme="majorHAnsi" w:hAnsiTheme="majorHAnsi"/>
                <w:noProof/>
              </w:rPr>
              <w:t xml:space="preserve"> </w:t>
            </w:r>
            <w:r w:rsidR="00345ADE" w:rsidRPr="006564D9">
              <w:rPr>
                <w:rStyle w:val="Hypertextovodkaz"/>
                <w:rFonts w:asciiTheme="majorHAnsi" w:hAnsiTheme="majorHAnsi"/>
                <w:noProof/>
              </w:rPr>
              <w:t xml:space="preserve">podpory na hodnoty </w:t>
            </w:r>
            <w:r w:rsidR="00E84449">
              <w:rPr>
                <w:rStyle w:val="Hypertextovodkaz"/>
                <w:rFonts w:asciiTheme="majorHAnsi" w:hAnsiTheme="majorHAnsi"/>
                <w:noProof/>
              </w:rPr>
              <w:t>vnitřního výnosového procenta (</w:t>
            </w:r>
            <w:r w:rsidR="00345ADE" w:rsidRPr="006564D9">
              <w:rPr>
                <w:rStyle w:val="Hypertextovodkaz"/>
                <w:rFonts w:asciiTheme="majorHAnsi" w:hAnsiTheme="majorHAnsi"/>
                <w:noProof/>
              </w:rPr>
              <w:t>IRR</w:t>
            </w:r>
            <w:r w:rsidR="00E84449">
              <w:rPr>
                <w:rStyle w:val="Hypertextovodkaz"/>
                <w:rFonts w:asciiTheme="majorHAnsi" w:hAnsiTheme="majorHAnsi"/>
                <w:noProof/>
              </w:rPr>
              <w:t>)</w:t>
            </w:r>
            <w:r w:rsidR="00345ADE">
              <w:rPr>
                <w:noProof/>
                <w:webHidden/>
              </w:rPr>
              <w:tab/>
            </w:r>
            <w:r w:rsidR="00345ADE">
              <w:rPr>
                <w:noProof/>
                <w:webHidden/>
              </w:rPr>
              <w:fldChar w:fldCharType="begin"/>
            </w:r>
            <w:r w:rsidR="00345ADE">
              <w:rPr>
                <w:noProof/>
                <w:webHidden/>
              </w:rPr>
              <w:instrText xml:space="preserve"> PAGEREF _Toc476517920 \h </w:instrText>
            </w:r>
            <w:r w:rsidR="00345ADE">
              <w:rPr>
                <w:noProof/>
                <w:webHidden/>
              </w:rPr>
            </w:r>
            <w:r w:rsidR="00345ADE">
              <w:rPr>
                <w:noProof/>
                <w:webHidden/>
              </w:rPr>
              <w:fldChar w:fldCharType="separate"/>
            </w:r>
            <w:r w:rsidR="00FA7B72">
              <w:rPr>
                <w:noProof/>
                <w:webHidden/>
              </w:rPr>
              <w:t>19</w:t>
            </w:r>
            <w:r w:rsidR="00345ADE">
              <w:rPr>
                <w:noProof/>
                <w:webHidden/>
              </w:rPr>
              <w:fldChar w:fldCharType="end"/>
            </w:r>
          </w:hyperlink>
        </w:p>
        <w:p w14:paraId="44BA2B2B" w14:textId="2D0DCD77" w:rsidR="00345ADE" w:rsidRDefault="00034AD2" w:rsidP="00E32A4B">
          <w:pPr>
            <w:pStyle w:val="Obsah1"/>
            <w:rPr>
              <w:rFonts w:eastAsiaTheme="minorEastAsia"/>
              <w:noProof/>
              <w:color w:val="auto"/>
              <w:lang w:eastAsia="cs-CZ"/>
            </w:rPr>
          </w:pPr>
          <w:hyperlink w:anchor="_Toc476517921" w:history="1">
            <w:r w:rsidR="00345ADE" w:rsidRPr="006564D9">
              <w:rPr>
                <w:rStyle w:val="Hypertextovodkaz"/>
                <w:rFonts w:asciiTheme="majorHAnsi" w:hAnsiTheme="majorHAnsi"/>
                <w:noProof/>
              </w:rPr>
              <w:t>7.</w:t>
            </w:r>
            <w:r w:rsidR="00345ADE">
              <w:rPr>
                <w:rFonts w:eastAsiaTheme="minorEastAsia"/>
                <w:noProof/>
                <w:color w:val="auto"/>
                <w:lang w:eastAsia="cs-CZ"/>
              </w:rPr>
              <w:tab/>
            </w:r>
            <w:r w:rsidR="00345ADE" w:rsidRPr="006564D9">
              <w:rPr>
                <w:rStyle w:val="Hypertextovodkaz"/>
                <w:rFonts w:asciiTheme="majorHAnsi" w:hAnsiTheme="majorHAnsi"/>
                <w:noProof/>
              </w:rPr>
              <w:t>Návrh postupu aplikace závazku</w:t>
            </w:r>
            <w:r w:rsidR="00E84449">
              <w:rPr>
                <w:rStyle w:val="Hypertextovodkaz"/>
                <w:rFonts w:asciiTheme="majorHAnsi" w:hAnsiTheme="majorHAnsi"/>
                <w:noProof/>
              </w:rPr>
              <w:t xml:space="preserve"> pro ČR k</w:t>
            </w:r>
            <w:r w:rsidR="00345ADE" w:rsidRPr="006564D9">
              <w:rPr>
                <w:rStyle w:val="Hypertextovodkaz"/>
                <w:rFonts w:asciiTheme="majorHAnsi" w:hAnsiTheme="majorHAnsi"/>
                <w:noProof/>
              </w:rPr>
              <w:t xml:space="preserve"> </w:t>
            </w:r>
            <w:r w:rsidR="00E84449">
              <w:rPr>
                <w:rStyle w:val="Hypertextovodkaz"/>
                <w:rFonts w:asciiTheme="majorHAnsi" w:hAnsiTheme="majorHAnsi"/>
                <w:noProof/>
              </w:rPr>
              <w:t>mech</w:t>
            </w:r>
            <w:r w:rsidR="00A8142D">
              <w:rPr>
                <w:rStyle w:val="Hypertextovodkaz"/>
                <w:rFonts w:asciiTheme="majorHAnsi" w:hAnsiTheme="majorHAnsi"/>
                <w:noProof/>
              </w:rPr>
              <w:t>a</w:t>
            </w:r>
            <w:r w:rsidR="00E84449">
              <w:rPr>
                <w:rStyle w:val="Hypertextovodkaz"/>
                <w:rFonts w:asciiTheme="majorHAnsi" w:hAnsiTheme="majorHAnsi"/>
                <w:noProof/>
              </w:rPr>
              <w:t xml:space="preserve">nismu </w:t>
            </w:r>
            <w:r w:rsidR="00777AA3">
              <w:rPr>
                <w:rStyle w:val="Hypertextovodkaz"/>
                <w:rFonts w:asciiTheme="majorHAnsi" w:hAnsiTheme="majorHAnsi"/>
                <w:noProof/>
              </w:rPr>
              <w:t xml:space="preserve">kontroly přiměřenosti </w:t>
            </w:r>
            <w:r w:rsidR="00345ADE" w:rsidRPr="006564D9">
              <w:rPr>
                <w:rStyle w:val="Hypertextovodkaz"/>
                <w:rFonts w:asciiTheme="majorHAnsi" w:hAnsiTheme="majorHAnsi"/>
                <w:noProof/>
              </w:rPr>
              <w:t>podpory</w:t>
            </w:r>
            <w:r w:rsidR="00345ADE">
              <w:rPr>
                <w:noProof/>
                <w:webHidden/>
              </w:rPr>
              <w:tab/>
            </w:r>
            <w:r w:rsidR="00345ADE">
              <w:rPr>
                <w:noProof/>
                <w:webHidden/>
              </w:rPr>
              <w:fldChar w:fldCharType="begin"/>
            </w:r>
            <w:r w:rsidR="00345ADE">
              <w:rPr>
                <w:noProof/>
                <w:webHidden/>
              </w:rPr>
              <w:instrText xml:space="preserve"> PAGEREF _Toc476517921 \h </w:instrText>
            </w:r>
            <w:r w:rsidR="00345ADE">
              <w:rPr>
                <w:noProof/>
                <w:webHidden/>
              </w:rPr>
            </w:r>
            <w:r w:rsidR="00345ADE">
              <w:rPr>
                <w:noProof/>
                <w:webHidden/>
              </w:rPr>
              <w:fldChar w:fldCharType="separate"/>
            </w:r>
            <w:r w:rsidR="00FA7B72">
              <w:rPr>
                <w:noProof/>
                <w:webHidden/>
              </w:rPr>
              <w:t>21</w:t>
            </w:r>
            <w:r w:rsidR="00345ADE">
              <w:rPr>
                <w:noProof/>
                <w:webHidden/>
              </w:rPr>
              <w:fldChar w:fldCharType="end"/>
            </w:r>
          </w:hyperlink>
        </w:p>
        <w:p w14:paraId="3516E42B" w14:textId="40BAEBBF" w:rsidR="00345ADE" w:rsidRDefault="00034AD2" w:rsidP="00E32A4B">
          <w:pPr>
            <w:pStyle w:val="Obsah1"/>
            <w:rPr>
              <w:rFonts w:eastAsiaTheme="minorEastAsia"/>
              <w:noProof/>
              <w:color w:val="auto"/>
              <w:lang w:eastAsia="cs-CZ"/>
            </w:rPr>
          </w:pPr>
          <w:hyperlink w:anchor="_Toc476517922" w:history="1">
            <w:r w:rsidR="00345ADE" w:rsidRPr="006564D9">
              <w:rPr>
                <w:rStyle w:val="Hypertextovodkaz"/>
                <w:rFonts w:asciiTheme="majorHAnsi" w:hAnsiTheme="majorHAnsi"/>
                <w:noProof/>
              </w:rPr>
              <w:t>8.</w:t>
            </w:r>
            <w:r w:rsidR="00345ADE">
              <w:rPr>
                <w:rFonts w:eastAsiaTheme="minorEastAsia"/>
                <w:noProof/>
                <w:color w:val="auto"/>
                <w:lang w:eastAsia="cs-CZ"/>
              </w:rPr>
              <w:tab/>
            </w:r>
            <w:r w:rsidR="00345ADE" w:rsidRPr="006564D9">
              <w:rPr>
                <w:rStyle w:val="Hypertextovodkaz"/>
                <w:rFonts w:asciiTheme="majorHAnsi" w:hAnsiTheme="majorHAnsi"/>
                <w:noProof/>
              </w:rPr>
              <w:t xml:space="preserve">Dopady </w:t>
            </w:r>
            <w:r w:rsidR="00A8142D">
              <w:rPr>
                <w:rStyle w:val="Hypertextovodkaz"/>
                <w:rFonts w:asciiTheme="majorHAnsi" w:hAnsiTheme="majorHAnsi"/>
                <w:noProof/>
              </w:rPr>
              <w:t xml:space="preserve"> vyplývající z navrženého postupu </w:t>
            </w:r>
            <w:r w:rsidR="00345ADE" w:rsidRPr="006564D9">
              <w:rPr>
                <w:rStyle w:val="Hypertextovodkaz"/>
                <w:rFonts w:asciiTheme="majorHAnsi" w:hAnsiTheme="majorHAnsi"/>
                <w:noProof/>
              </w:rPr>
              <w:t xml:space="preserve">aplikace závazku </w:t>
            </w:r>
            <w:r w:rsidR="00A8142D">
              <w:rPr>
                <w:rStyle w:val="Hypertextovodkaz"/>
                <w:rFonts w:asciiTheme="majorHAnsi" w:hAnsiTheme="majorHAnsi"/>
                <w:noProof/>
              </w:rPr>
              <w:t xml:space="preserve">pro ČR k mechanismu </w:t>
            </w:r>
            <w:r w:rsidR="00777AA3">
              <w:rPr>
                <w:rStyle w:val="Hypertextovodkaz"/>
                <w:rFonts w:asciiTheme="majorHAnsi" w:hAnsiTheme="majorHAnsi"/>
                <w:noProof/>
              </w:rPr>
              <w:t xml:space="preserve">kontroly přiměřenosti </w:t>
            </w:r>
            <w:r w:rsidR="00345ADE" w:rsidRPr="006564D9">
              <w:rPr>
                <w:rStyle w:val="Hypertextovodkaz"/>
                <w:rFonts w:asciiTheme="majorHAnsi" w:hAnsiTheme="majorHAnsi"/>
                <w:noProof/>
              </w:rPr>
              <w:t xml:space="preserve"> podpory</w:t>
            </w:r>
            <w:r w:rsidR="00345ADE">
              <w:rPr>
                <w:noProof/>
                <w:webHidden/>
              </w:rPr>
              <w:tab/>
            </w:r>
            <w:r w:rsidR="00345ADE">
              <w:rPr>
                <w:noProof/>
                <w:webHidden/>
              </w:rPr>
              <w:fldChar w:fldCharType="begin"/>
            </w:r>
            <w:r w:rsidR="00345ADE">
              <w:rPr>
                <w:noProof/>
                <w:webHidden/>
              </w:rPr>
              <w:instrText xml:space="preserve"> PAGEREF _Toc476517922 \h </w:instrText>
            </w:r>
            <w:r w:rsidR="00345ADE">
              <w:rPr>
                <w:noProof/>
                <w:webHidden/>
              </w:rPr>
            </w:r>
            <w:r w:rsidR="00345ADE">
              <w:rPr>
                <w:noProof/>
                <w:webHidden/>
              </w:rPr>
              <w:fldChar w:fldCharType="separate"/>
            </w:r>
            <w:r w:rsidR="00FA7B72">
              <w:rPr>
                <w:noProof/>
                <w:webHidden/>
              </w:rPr>
              <w:t>28</w:t>
            </w:r>
            <w:r w:rsidR="00345ADE">
              <w:rPr>
                <w:noProof/>
                <w:webHidden/>
              </w:rPr>
              <w:fldChar w:fldCharType="end"/>
            </w:r>
          </w:hyperlink>
        </w:p>
        <w:p w14:paraId="4A3C0D67" w14:textId="5DF2C305" w:rsidR="00345ADE" w:rsidRDefault="00034AD2" w:rsidP="00E32A4B">
          <w:pPr>
            <w:pStyle w:val="Obsah1"/>
            <w:rPr>
              <w:rFonts w:eastAsiaTheme="minorEastAsia"/>
              <w:noProof/>
              <w:color w:val="auto"/>
              <w:lang w:eastAsia="cs-CZ"/>
            </w:rPr>
          </w:pPr>
          <w:hyperlink w:anchor="_Toc476517923" w:history="1">
            <w:r w:rsidR="00345ADE" w:rsidRPr="006564D9">
              <w:rPr>
                <w:rStyle w:val="Hypertextovodkaz"/>
                <w:rFonts w:asciiTheme="majorHAnsi" w:hAnsiTheme="majorHAnsi"/>
                <w:noProof/>
              </w:rPr>
              <w:t>9.</w:t>
            </w:r>
            <w:r w:rsidR="00345ADE">
              <w:rPr>
                <w:rFonts w:eastAsiaTheme="minorEastAsia"/>
                <w:noProof/>
                <w:color w:val="auto"/>
                <w:lang w:eastAsia="cs-CZ"/>
              </w:rPr>
              <w:tab/>
            </w:r>
            <w:r w:rsidR="00345ADE" w:rsidRPr="006564D9">
              <w:rPr>
                <w:rStyle w:val="Hypertextovodkaz"/>
                <w:rFonts w:asciiTheme="majorHAnsi" w:hAnsiTheme="majorHAnsi"/>
                <w:noProof/>
              </w:rPr>
              <w:t>Shrnutí dopadů</w:t>
            </w:r>
            <w:r w:rsidR="00345ADE">
              <w:rPr>
                <w:noProof/>
                <w:webHidden/>
              </w:rPr>
              <w:tab/>
            </w:r>
            <w:r w:rsidR="00345ADE">
              <w:rPr>
                <w:noProof/>
                <w:webHidden/>
              </w:rPr>
              <w:fldChar w:fldCharType="begin"/>
            </w:r>
            <w:r w:rsidR="00345ADE">
              <w:rPr>
                <w:noProof/>
                <w:webHidden/>
              </w:rPr>
              <w:instrText xml:space="preserve"> PAGEREF _Toc476517923 \h </w:instrText>
            </w:r>
            <w:r w:rsidR="00345ADE">
              <w:rPr>
                <w:noProof/>
                <w:webHidden/>
              </w:rPr>
            </w:r>
            <w:r w:rsidR="00345ADE">
              <w:rPr>
                <w:noProof/>
                <w:webHidden/>
              </w:rPr>
              <w:fldChar w:fldCharType="separate"/>
            </w:r>
            <w:r w:rsidR="00FA7B72">
              <w:rPr>
                <w:noProof/>
                <w:webHidden/>
              </w:rPr>
              <w:t>35</w:t>
            </w:r>
            <w:r w:rsidR="00345ADE">
              <w:rPr>
                <w:noProof/>
                <w:webHidden/>
              </w:rPr>
              <w:fldChar w:fldCharType="end"/>
            </w:r>
          </w:hyperlink>
        </w:p>
        <w:p w14:paraId="7CDB02B4" w14:textId="2F4A1B5A" w:rsidR="00345ADE" w:rsidRDefault="00034AD2" w:rsidP="00E32A4B">
          <w:pPr>
            <w:pStyle w:val="Obsah1"/>
            <w:rPr>
              <w:rFonts w:eastAsiaTheme="minorEastAsia"/>
              <w:noProof/>
              <w:color w:val="auto"/>
              <w:lang w:eastAsia="cs-CZ"/>
            </w:rPr>
          </w:pPr>
          <w:hyperlink w:anchor="_Toc476517924" w:history="1">
            <w:r w:rsidR="00345ADE" w:rsidRPr="006564D9">
              <w:rPr>
                <w:rStyle w:val="Hypertextovodkaz"/>
                <w:rFonts w:asciiTheme="majorHAnsi" w:hAnsiTheme="majorHAnsi"/>
                <w:noProof/>
              </w:rPr>
              <w:t>10.</w:t>
            </w:r>
            <w:r w:rsidR="00345ADE">
              <w:rPr>
                <w:rFonts w:eastAsiaTheme="minorEastAsia"/>
                <w:noProof/>
                <w:color w:val="auto"/>
                <w:lang w:eastAsia="cs-CZ"/>
              </w:rPr>
              <w:tab/>
            </w:r>
            <w:r w:rsidR="00345ADE" w:rsidRPr="006564D9">
              <w:rPr>
                <w:rStyle w:val="Hypertextovodkaz"/>
                <w:rFonts w:asciiTheme="majorHAnsi" w:hAnsiTheme="majorHAnsi"/>
                <w:noProof/>
              </w:rPr>
              <w:t>Role jednotlivých subjektů při naplňování mechanismu</w:t>
            </w:r>
            <w:r w:rsidR="00156156">
              <w:rPr>
                <w:rStyle w:val="Hypertextovodkaz"/>
                <w:rFonts w:asciiTheme="majorHAnsi" w:hAnsiTheme="majorHAnsi"/>
                <w:noProof/>
              </w:rPr>
              <w:t xml:space="preserve"> </w:t>
            </w:r>
            <w:r w:rsidR="00777AA3">
              <w:rPr>
                <w:rStyle w:val="Hypertextovodkaz"/>
                <w:rFonts w:asciiTheme="majorHAnsi" w:hAnsiTheme="majorHAnsi"/>
                <w:noProof/>
              </w:rPr>
              <w:t xml:space="preserve">kontroly přiměřenosti </w:t>
            </w:r>
            <w:r w:rsidR="00156156">
              <w:rPr>
                <w:rStyle w:val="Hypertextovodkaz"/>
                <w:rFonts w:asciiTheme="majorHAnsi" w:hAnsiTheme="majorHAnsi"/>
                <w:noProof/>
              </w:rPr>
              <w:t xml:space="preserve"> podpory</w:t>
            </w:r>
            <w:r w:rsidR="00345ADE">
              <w:rPr>
                <w:noProof/>
                <w:webHidden/>
              </w:rPr>
              <w:tab/>
            </w:r>
            <w:r w:rsidR="00345ADE">
              <w:rPr>
                <w:noProof/>
                <w:webHidden/>
              </w:rPr>
              <w:fldChar w:fldCharType="begin"/>
            </w:r>
            <w:r w:rsidR="00345ADE">
              <w:rPr>
                <w:noProof/>
                <w:webHidden/>
              </w:rPr>
              <w:instrText xml:space="preserve"> PAGEREF _Toc476517924 \h </w:instrText>
            </w:r>
            <w:r w:rsidR="00345ADE">
              <w:rPr>
                <w:noProof/>
                <w:webHidden/>
              </w:rPr>
            </w:r>
            <w:r w:rsidR="00345ADE">
              <w:rPr>
                <w:noProof/>
                <w:webHidden/>
              </w:rPr>
              <w:fldChar w:fldCharType="separate"/>
            </w:r>
            <w:r w:rsidR="00FA7B72">
              <w:rPr>
                <w:noProof/>
                <w:webHidden/>
              </w:rPr>
              <w:t>38</w:t>
            </w:r>
            <w:r w:rsidR="00345ADE">
              <w:rPr>
                <w:noProof/>
                <w:webHidden/>
              </w:rPr>
              <w:fldChar w:fldCharType="end"/>
            </w:r>
          </w:hyperlink>
        </w:p>
        <w:p w14:paraId="7903AEDF" w14:textId="14B14418" w:rsidR="00345ADE" w:rsidRDefault="00034AD2" w:rsidP="00E32A4B">
          <w:pPr>
            <w:pStyle w:val="Obsah1"/>
            <w:rPr>
              <w:rFonts w:eastAsiaTheme="minorEastAsia"/>
              <w:noProof/>
              <w:color w:val="auto"/>
              <w:lang w:eastAsia="cs-CZ"/>
            </w:rPr>
          </w:pPr>
          <w:hyperlink w:anchor="_Toc476517925" w:history="1">
            <w:r w:rsidR="00345ADE" w:rsidRPr="006564D9">
              <w:rPr>
                <w:rStyle w:val="Hypertextovodkaz"/>
                <w:rFonts w:asciiTheme="majorHAnsi" w:hAnsiTheme="majorHAnsi"/>
                <w:noProof/>
              </w:rPr>
              <w:t xml:space="preserve">Příloha č. 1 Srovnání rozdílů v závazcích na </w:t>
            </w:r>
            <w:r w:rsidR="00A8142D">
              <w:rPr>
                <w:rStyle w:val="Hypertextovodkaz"/>
                <w:rFonts w:asciiTheme="majorHAnsi" w:hAnsiTheme="majorHAnsi"/>
                <w:noProof/>
              </w:rPr>
              <w:t xml:space="preserve">mechanismus </w:t>
            </w:r>
            <w:r w:rsidR="00777AA3">
              <w:rPr>
                <w:rStyle w:val="Hypertextovodkaz"/>
                <w:rFonts w:asciiTheme="majorHAnsi" w:hAnsiTheme="majorHAnsi"/>
                <w:noProof/>
              </w:rPr>
              <w:t xml:space="preserve">kontroly přiměřenosti </w:t>
            </w:r>
            <w:r w:rsidR="00156156">
              <w:rPr>
                <w:rStyle w:val="Hypertextovodkaz"/>
                <w:rFonts w:asciiTheme="majorHAnsi" w:hAnsiTheme="majorHAnsi"/>
                <w:noProof/>
              </w:rPr>
              <w:t xml:space="preserve"> podpory </w:t>
            </w:r>
            <w:r w:rsidR="00A8142D">
              <w:rPr>
                <w:rStyle w:val="Hypertextovodkaz"/>
                <w:rFonts w:asciiTheme="majorHAnsi" w:hAnsiTheme="majorHAnsi"/>
                <w:noProof/>
              </w:rPr>
              <w:t xml:space="preserve">zavedený </w:t>
            </w:r>
            <w:r w:rsidR="00345ADE" w:rsidRPr="006564D9">
              <w:rPr>
                <w:rStyle w:val="Hypertextovodkaz"/>
                <w:rFonts w:asciiTheme="majorHAnsi" w:hAnsiTheme="majorHAnsi"/>
                <w:noProof/>
              </w:rPr>
              <w:t>v</w:t>
            </w:r>
            <w:r w:rsidR="00A8142D">
              <w:rPr>
                <w:rStyle w:val="Hypertextovodkaz"/>
                <w:rFonts w:asciiTheme="majorHAnsi" w:hAnsiTheme="majorHAnsi"/>
                <w:noProof/>
              </w:rPr>
              <w:t xml:space="preserve"> rozhodnutích Evropské komise o slučitelnosti podpory s vnitřním trhem EU ve </w:t>
            </w:r>
            <w:r w:rsidR="00345ADE" w:rsidRPr="006564D9">
              <w:rPr>
                <w:rStyle w:val="Hypertextovodkaz"/>
                <w:rFonts w:asciiTheme="majorHAnsi" w:hAnsiTheme="majorHAnsi"/>
                <w:noProof/>
              </w:rPr>
              <w:t xml:space="preserve">zkoumaných členských </w:t>
            </w:r>
            <w:r w:rsidR="00A8142D" w:rsidRPr="006564D9">
              <w:rPr>
                <w:rStyle w:val="Hypertextovodkaz"/>
                <w:rFonts w:asciiTheme="majorHAnsi" w:hAnsiTheme="majorHAnsi"/>
                <w:noProof/>
              </w:rPr>
              <w:t>stát</w:t>
            </w:r>
            <w:r w:rsidR="00A8142D">
              <w:rPr>
                <w:rStyle w:val="Hypertextovodkaz"/>
                <w:rFonts w:asciiTheme="majorHAnsi" w:hAnsiTheme="majorHAnsi"/>
                <w:noProof/>
              </w:rPr>
              <w:t>ech</w:t>
            </w:r>
            <w:r w:rsidR="00345ADE">
              <w:rPr>
                <w:noProof/>
                <w:webHidden/>
              </w:rPr>
              <w:tab/>
            </w:r>
            <w:r w:rsidR="00345ADE">
              <w:rPr>
                <w:noProof/>
                <w:webHidden/>
              </w:rPr>
              <w:fldChar w:fldCharType="begin"/>
            </w:r>
            <w:r w:rsidR="00345ADE">
              <w:rPr>
                <w:noProof/>
                <w:webHidden/>
              </w:rPr>
              <w:instrText xml:space="preserve"> PAGEREF _Toc476517925 \h </w:instrText>
            </w:r>
            <w:r w:rsidR="00345ADE">
              <w:rPr>
                <w:noProof/>
                <w:webHidden/>
              </w:rPr>
            </w:r>
            <w:r w:rsidR="00345ADE">
              <w:rPr>
                <w:noProof/>
                <w:webHidden/>
              </w:rPr>
              <w:fldChar w:fldCharType="separate"/>
            </w:r>
            <w:r w:rsidR="00FA7B72">
              <w:rPr>
                <w:noProof/>
                <w:webHidden/>
              </w:rPr>
              <w:t>40</w:t>
            </w:r>
            <w:r w:rsidR="00345ADE">
              <w:rPr>
                <w:noProof/>
                <w:webHidden/>
              </w:rPr>
              <w:fldChar w:fldCharType="end"/>
            </w:r>
          </w:hyperlink>
        </w:p>
        <w:p w14:paraId="2609DF75" w14:textId="6A9A26E5" w:rsidR="00345ADE" w:rsidRDefault="00345ADE">
          <w:r>
            <w:rPr>
              <w:b/>
              <w:bCs/>
            </w:rPr>
            <w:fldChar w:fldCharType="end"/>
          </w:r>
        </w:p>
      </w:sdtContent>
    </w:sdt>
    <w:p w14:paraId="4BDA361C" w14:textId="77777777" w:rsidR="00345ADE" w:rsidRDefault="00345ADE" w:rsidP="00FD48F4">
      <w:pPr>
        <w:pStyle w:val="Nadpis1"/>
        <w:ind w:left="360"/>
        <w:rPr>
          <w:rFonts w:asciiTheme="majorHAnsi" w:hAnsiTheme="majorHAnsi"/>
          <w:b w:val="0"/>
          <w:sz w:val="32"/>
          <w:szCs w:val="32"/>
        </w:rPr>
      </w:pPr>
    </w:p>
    <w:p w14:paraId="64E3C3DF" w14:textId="77777777" w:rsidR="004713EF" w:rsidRDefault="004713EF" w:rsidP="00FD48F4">
      <w:pPr>
        <w:pStyle w:val="Nadpis1"/>
        <w:ind w:left="360"/>
        <w:rPr>
          <w:rFonts w:asciiTheme="majorHAnsi" w:hAnsiTheme="majorHAnsi"/>
          <w:b w:val="0"/>
          <w:sz w:val="32"/>
          <w:szCs w:val="32"/>
        </w:rPr>
      </w:pPr>
    </w:p>
    <w:p w14:paraId="4E5BFDF8" w14:textId="77777777" w:rsidR="00803792" w:rsidRDefault="00803792" w:rsidP="00FD48F4">
      <w:pPr>
        <w:pStyle w:val="Nadpis1"/>
        <w:ind w:left="360"/>
        <w:rPr>
          <w:rFonts w:asciiTheme="majorHAnsi" w:hAnsiTheme="majorHAnsi"/>
          <w:b w:val="0"/>
          <w:sz w:val="32"/>
          <w:szCs w:val="32"/>
        </w:rPr>
      </w:pPr>
    </w:p>
    <w:p w14:paraId="3A2AF733" w14:textId="77777777" w:rsidR="00803792" w:rsidRDefault="00803792" w:rsidP="00FD48F4">
      <w:pPr>
        <w:pStyle w:val="Nadpis1"/>
        <w:ind w:left="360"/>
        <w:rPr>
          <w:rFonts w:asciiTheme="majorHAnsi" w:hAnsiTheme="majorHAnsi"/>
          <w:b w:val="0"/>
          <w:sz w:val="32"/>
          <w:szCs w:val="32"/>
        </w:rPr>
      </w:pPr>
    </w:p>
    <w:p w14:paraId="6DA85968" w14:textId="77777777" w:rsidR="00C07DEA" w:rsidRDefault="00C07DEA" w:rsidP="00FD48F4">
      <w:pPr>
        <w:pStyle w:val="Nadpis1"/>
        <w:ind w:left="360"/>
        <w:rPr>
          <w:rFonts w:asciiTheme="majorHAnsi" w:hAnsiTheme="majorHAnsi"/>
          <w:b w:val="0"/>
          <w:sz w:val="32"/>
          <w:szCs w:val="32"/>
        </w:rPr>
      </w:pPr>
    </w:p>
    <w:p w14:paraId="3F8A47DC" w14:textId="77777777" w:rsidR="00C07DEA" w:rsidRDefault="00C07DEA" w:rsidP="00FD48F4">
      <w:pPr>
        <w:pStyle w:val="Nadpis1"/>
        <w:ind w:left="360"/>
        <w:rPr>
          <w:rFonts w:asciiTheme="majorHAnsi" w:hAnsiTheme="majorHAnsi"/>
          <w:b w:val="0"/>
          <w:sz w:val="32"/>
          <w:szCs w:val="32"/>
        </w:rPr>
      </w:pPr>
    </w:p>
    <w:p w14:paraId="36F3915F" w14:textId="77777777" w:rsidR="00C07DEA" w:rsidRPr="00FD48F4" w:rsidRDefault="00C07DEA" w:rsidP="00FD48F4">
      <w:pPr>
        <w:pStyle w:val="Nadpis1"/>
        <w:ind w:left="360"/>
        <w:rPr>
          <w:rFonts w:asciiTheme="majorHAnsi" w:hAnsiTheme="majorHAnsi"/>
          <w:b w:val="0"/>
          <w:sz w:val="32"/>
          <w:szCs w:val="32"/>
        </w:rPr>
      </w:pPr>
    </w:p>
    <w:p w14:paraId="0FD891BB" w14:textId="6BCA6B39" w:rsidR="008B6A70" w:rsidRPr="00FD48F4" w:rsidRDefault="008B6A70" w:rsidP="00997F8E">
      <w:pPr>
        <w:pStyle w:val="Nadpis1"/>
        <w:numPr>
          <w:ilvl w:val="0"/>
          <w:numId w:val="24"/>
        </w:numPr>
        <w:ind w:left="426" w:hanging="426"/>
        <w:rPr>
          <w:rFonts w:asciiTheme="majorHAnsi" w:hAnsiTheme="majorHAnsi"/>
          <w:b w:val="0"/>
          <w:sz w:val="32"/>
          <w:szCs w:val="32"/>
        </w:rPr>
      </w:pPr>
      <w:bookmarkStart w:id="1" w:name="_Toc476517916"/>
      <w:r w:rsidRPr="00FD48F4">
        <w:rPr>
          <w:rFonts w:asciiTheme="majorHAnsi" w:hAnsiTheme="majorHAnsi"/>
          <w:sz w:val="32"/>
          <w:szCs w:val="32"/>
        </w:rPr>
        <w:t>Manažérské shrnutí:</w:t>
      </w:r>
      <w:bookmarkEnd w:id="1"/>
    </w:p>
    <w:p w14:paraId="0591B18C" w14:textId="20CBBF44" w:rsidR="003D3C81" w:rsidRDefault="003D3C81" w:rsidP="004713EF">
      <w:pPr>
        <w:spacing w:before="100" w:beforeAutospacing="1" w:after="100" w:afterAutospacing="1" w:line="276" w:lineRule="auto"/>
        <w:jc w:val="both"/>
        <w:rPr>
          <w:i/>
          <w:sz w:val="24"/>
          <w:szCs w:val="24"/>
        </w:rPr>
      </w:pPr>
      <w:r w:rsidRPr="00FD48F4">
        <w:rPr>
          <w:i/>
          <w:sz w:val="24"/>
          <w:szCs w:val="24"/>
        </w:rPr>
        <w:t xml:space="preserve">Součástí </w:t>
      </w:r>
      <w:r w:rsidR="00497BA4">
        <w:rPr>
          <w:i/>
          <w:sz w:val="24"/>
          <w:szCs w:val="24"/>
        </w:rPr>
        <w:t xml:space="preserve">vydaných </w:t>
      </w:r>
      <w:r w:rsidRPr="00FD48F4">
        <w:rPr>
          <w:i/>
          <w:sz w:val="24"/>
          <w:szCs w:val="24"/>
        </w:rPr>
        <w:t>rozhodnutí Evropské komise</w:t>
      </w:r>
      <w:r w:rsidR="00497BA4">
        <w:rPr>
          <w:i/>
          <w:sz w:val="24"/>
          <w:szCs w:val="24"/>
        </w:rPr>
        <w:t xml:space="preserve">, jimiž se podpora </w:t>
      </w:r>
      <w:r w:rsidR="00497BA4" w:rsidRPr="00FD48F4">
        <w:rPr>
          <w:i/>
          <w:sz w:val="24"/>
          <w:szCs w:val="24"/>
        </w:rPr>
        <w:t>elektřiny z obnovitelných zdrojů energie uvedených do provozu v období od 1. 1. 2006 do 31. 12. 2015</w:t>
      </w:r>
      <w:r w:rsidR="00497BA4">
        <w:rPr>
          <w:i/>
          <w:sz w:val="24"/>
          <w:szCs w:val="24"/>
        </w:rPr>
        <w:t xml:space="preserve"> považuje za slučitelnou s vnitřním </w:t>
      </w:r>
      <w:r w:rsidR="00B355E6">
        <w:rPr>
          <w:i/>
          <w:sz w:val="24"/>
          <w:szCs w:val="24"/>
        </w:rPr>
        <w:t xml:space="preserve">trhem </w:t>
      </w:r>
      <w:r w:rsidR="00497BA4">
        <w:rPr>
          <w:i/>
          <w:sz w:val="24"/>
          <w:szCs w:val="24"/>
        </w:rPr>
        <w:t>EU</w:t>
      </w:r>
      <w:r w:rsidR="008456DA" w:rsidRPr="00FD48F4">
        <w:rPr>
          <w:i/>
          <w:sz w:val="24"/>
          <w:szCs w:val="24"/>
        </w:rPr>
        <w:t xml:space="preserve"> </w:t>
      </w:r>
      <w:r w:rsidR="006777CC">
        <w:rPr>
          <w:i/>
          <w:sz w:val="24"/>
          <w:szCs w:val="24"/>
        </w:rPr>
        <w:t xml:space="preserve">(resp. také u rozhodnutích, které budou u ostatních druhů podporovaných zdrojů energie v budoucnu ještě vydány) </w:t>
      </w:r>
      <w:r w:rsidRPr="00FD48F4">
        <w:rPr>
          <w:i/>
          <w:sz w:val="24"/>
          <w:szCs w:val="24"/>
        </w:rPr>
        <w:t xml:space="preserve">je </w:t>
      </w:r>
      <w:r w:rsidR="006777CC">
        <w:rPr>
          <w:i/>
          <w:sz w:val="24"/>
          <w:szCs w:val="24"/>
        </w:rPr>
        <w:t xml:space="preserve">(resp. bude) </w:t>
      </w:r>
      <w:r w:rsidRPr="00FD48F4">
        <w:rPr>
          <w:i/>
          <w:sz w:val="24"/>
          <w:szCs w:val="24"/>
        </w:rPr>
        <w:t xml:space="preserve">závazek pro ČR na zavedení mechanismu </w:t>
      </w:r>
      <w:r w:rsidR="00B779DC">
        <w:rPr>
          <w:i/>
          <w:sz w:val="24"/>
          <w:szCs w:val="24"/>
        </w:rPr>
        <w:t>kontroly přim</w:t>
      </w:r>
      <w:r w:rsidR="00B355E6">
        <w:rPr>
          <w:i/>
          <w:sz w:val="24"/>
          <w:szCs w:val="24"/>
        </w:rPr>
        <w:t>ě</w:t>
      </w:r>
      <w:r w:rsidR="00B779DC">
        <w:rPr>
          <w:i/>
          <w:sz w:val="24"/>
          <w:szCs w:val="24"/>
        </w:rPr>
        <w:t xml:space="preserve">řenosti </w:t>
      </w:r>
      <w:r w:rsidR="00497BA4">
        <w:rPr>
          <w:i/>
          <w:sz w:val="24"/>
          <w:szCs w:val="24"/>
        </w:rPr>
        <w:t xml:space="preserve"> </w:t>
      </w:r>
      <w:r w:rsidRPr="00FD48F4">
        <w:rPr>
          <w:i/>
          <w:sz w:val="24"/>
          <w:szCs w:val="24"/>
        </w:rPr>
        <w:t xml:space="preserve">podpory. </w:t>
      </w:r>
    </w:p>
    <w:p w14:paraId="765F616B" w14:textId="0D83B6C0" w:rsidR="00C77DA0" w:rsidRPr="00C77DA0" w:rsidRDefault="00C77DA0" w:rsidP="00997F8E">
      <w:pPr>
        <w:pStyle w:val="Odstavecseseznamem"/>
        <w:numPr>
          <w:ilvl w:val="0"/>
          <w:numId w:val="35"/>
        </w:numPr>
        <w:spacing w:before="100" w:beforeAutospacing="1" w:after="100" w:afterAutospacing="1" w:line="276" w:lineRule="auto"/>
        <w:jc w:val="both"/>
        <w:rPr>
          <w:b/>
          <w:i/>
          <w:sz w:val="24"/>
          <w:szCs w:val="24"/>
        </w:rPr>
      </w:pPr>
      <w:r w:rsidRPr="00C77DA0">
        <w:rPr>
          <w:b/>
          <w:i/>
          <w:sz w:val="24"/>
          <w:szCs w:val="24"/>
        </w:rPr>
        <w:t>Posouzení závazku  pro ČR se zahraničím</w:t>
      </w:r>
    </w:p>
    <w:p w14:paraId="746EB894" w14:textId="43756826" w:rsidR="003D3C81" w:rsidRDefault="003D3C81" w:rsidP="004713EF">
      <w:pPr>
        <w:spacing w:before="100" w:beforeAutospacing="1" w:after="100" w:afterAutospacing="1" w:line="276" w:lineRule="auto"/>
        <w:jc w:val="both"/>
        <w:rPr>
          <w:i/>
          <w:sz w:val="24"/>
          <w:szCs w:val="24"/>
        </w:rPr>
      </w:pPr>
      <w:r w:rsidRPr="00FD48F4">
        <w:rPr>
          <w:i/>
          <w:sz w:val="24"/>
          <w:szCs w:val="24"/>
        </w:rPr>
        <w:t xml:space="preserve">V rámci postupu </w:t>
      </w:r>
      <w:r w:rsidR="00C06F8A">
        <w:rPr>
          <w:i/>
          <w:sz w:val="24"/>
          <w:szCs w:val="24"/>
        </w:rPr>
        <w:t xml:space="preserve">vhodné </w:t>
      </w:r>
      <w:r w:rsidRPr="00FD48F4">
        <w:rPr>
          <w:i/>
          <w:sz w:val="24"/>
          <w:szCs w:val="24"/>
        </w:rPr>
        <w:t>aplikace závazků uvedených v  rozhodnutích</w:t>
      </w:r>
      <w:r w:rsidR="00997F8E">
        <w:rPr>
          <w:i/>
          <w:sz w:val="24"/>
          <w:szCs w:val="24"/>
        </w:rPr>
        <w:t xml:space="preserve"> </w:t>
      </w:r>
      <w:r w:rsidR="00997F8E" w:rsidRPr="00FD48F4">
        <w:rPr>
          <w:i/>
          <w:sz w:val="24"/>
          <w:szCs w:val="24"/>
        </w:rPr>
        <w:t>Evropské komise</w:t>
      </w:r>
      <w:r w:rsidR="00997F8E">
        <w:rPr>
          <w:i/>
          <w:sz w:val="24"/>
          <w:szCs w:val="24"/>
        </w:rPr>
        <w:t xml:space="preserve">, jimiž se podpora elektřiny z obnovitelných zdrojů energie považuje za slučitelnou s vnitřním trhem </w:t>
      </w:r>
      <w:r w:rsidR="006D6CFB">
        <w:rPr>
          <w:i/>
          <w:sz w:val="24"/>
          <w:szCs w:val="24"/>
        </w:rPr>
        <w:t>Evropské unie</w:t>
      </w:r>
      <w:r w:rsidR="006D6CFB" w:rsidRPr="00FD48F4">
        <w:rPr>
          <w:i/>
          <w:sz w:val="24"/>
          <w:szCs w:val="24"/>
        </w:rPr>
        <w:t xml:space="preserve"> </w:t>
      </w:r>
      <w:r w:rsidR="00997F8E">
        <w:rPr>
          <w:i/>
          <w:sz w:val="24"/>
          <w:szCs w:val="24"/>
        </w:rPr>
        <w:t>(rozhodnutí Evropské komise)</w:t>
      </w:r>
      <w:r w:rsidRPr="00FD48F4">
        <w:rPr>
          <w:i/>
          <w:sz w:val="24"/>
          <w:szCs w:val="24"/>
        </w:rPr>
        <w:t xml:space="preserve"> </w:t>
      </w:r>
      <w:r w:rsidR="00497BA4">
        <w:rPr>
          <w:i/>
          <w:sz w:val="24"/>
          <w:szCs w:val="24"/>
        </w:rPr>
        <w:t xml:space="preserve">analyzovalo </w:t>
      </w:r>
      <w:r w:rsidRPr="00FD48F4">
        <w:rPr>
          <w:i/>
          <w:sz w:val="24"/>
          <w:szCs w:val="24"/>
        </w:rPr>
        <w:t>Ministe</w:t>
      </w:r>
      <w:r w:rsidR="008456DA" w:rsidRPr="00FD48F4">
        <w:rPr>
          <w:i/>
          <w:sz w:val="24"/>
          <w:szCs w:val="24"/>
        </w:rPr>
        <w:t>rs</w:t>
      </w:r>
      <w:r w:rsidRPr="00FD48F4">
        <w:rPr>
          <w:i/>
          <w:sz w:val="24"/>
          <w:szCs w:val="24"/>
        </w:rPr>
        <w:t>tvo průmyslu a obchodu vydaná rozhodnutí Evropské komise</w:t>
      </w:r>
      <w:r w:rsidR="00CC1D2F">
        <w:rPr>
          <w:i/>
          <w:sz w:val="24"/>
          <w:szCs w:val="24"/>
        </w:rPr>
        <w:t xml:space="preserve"> </w:t>
      </w:r>
      <w:r w:rsidRPr="00FD48F4">
        <w:rPr>
          <w:i/>
          <w:sz w:val="24"/>
          <w:szCs w:val="24"/>
        </w:rPr>
        <w:t>v </w:t>
      </w:r>
      <w:r w:rsidR="006D6CFB">
        <w:rPr>
          <w:i/>
          <w:sz w:val="24"/>
          <w:szCs w:val="24"/>
        </w:rPr>
        <w:t>jiných</w:t>
      </w:r>
      <w:r w:rsidR="006D6CFB" w:rsidRPr="00FD48F4">
        <w:rPr>
          <w:i/>
          <w:sz w:val="24"/>
          <w:szCs w:val="24"/>
        </w:rPr>
        <w:t xml:space="preserve"> </w:t>
      </w:r>
      <w:r w:rsidR="00997F8E">
        <w:rPr>
          <w:i/>
          <w:sz w:val="24"/>
          <w:szCs w:val="24"/>
        </w:rPr>
        <w:t xml:space="preserve">členských </w:t>
      </w:r>
      <w:r w:rsidRPr="00FD48F4">
        <w:rPr>
          <w:i/>
          <w:sz w:val="24"/>
          <w:szCs w:val="24"/>
        </w:rPr>
        <w:t xml:space="preserve">státech </w:t>
      </w:r>
      <w:r w:rsidR="006D6CFB" w:rsidRPr="00FD48F4">
        <w:rPr>
          <w:i/>
          <w:sz w:val="24"/>
          <w:szCs w:val="24"/>
        </w:rPr>
        <w:t>E</w:t>
      </w:r>
      <w:r w:rsidR="006D6CFB">
        <w:rPr>
          <w:i/>
          <w:sz w:val="24"/>
          <w:szCs w:val="24"/>
        </w:rPr>
        <w:t>vropské unie</w:t>
      </w:r>
      <w:r w:rsidRPr="00FD48F4">
        <w:rPr>
          <w:i/>
          <w:sz w:val="24"/>
          <w:szCs w:val="24"/>
        </w:rPr>
        <w:t xml:space="preserve">. Z uvedené analýzy vyplývá, že </w:t>
      </w:r>
      <w:r w:rsidRPr="00034AD2">
        <w:rPr>
          <w:i/>
          <w:sz w:val="24"/>
          <w:szCs w:val="24"/>
          <w:highlight w:val="yellow"/>
        </w:rPr>
        <w:t xml:space="preserve">ve většině analyzovaných rozhodnutí </w:t>
      </w:r>
      <w:r w:rsidR="00CC1D2F" w:rsidRPr="00034AD2">
        <w:rPr>
          <w:i/>
          <w:sz w:val="24"/>
          <w:szCs w:val="24"/>
          <w:highlight w:val="yellow"/>
        </w:rPr>
        <w:t xml:space="preserve">Evropské komise </w:t>
      </w:r>
      <w:r w:rsidRPr="00034AD2">
        <w:rPr>
          <w:i/>
          <w:sz w:val="24"/>
          <w:szCs w:val="24"/>
          <w:highlight w:val="yellow"/>
        </w:rPr>
        <w:t xml:space="preserve">jsou zavedeny požadavky na monitoring </w:t>
      </w:r>
      <w:r w:rsidR="00997F8E" w:rsidRPr="00034AD2">
        <w:rPr>
          <w:i/>
          <w:sz w:val="24"/>
          <w:szCs w:val="24"/>
          <w:highlight w:val="yellow"/>
        </w:rPr>
        <w:t xml:space="preserve">poskytované </w:t>
      </w:r>
      <w:r w:rsidRPr="00034AD2">
        <w:rPr>
          <w:i/>
          <w:sz w:val="24"/>
          <w:szCs w:val="24"/>
          <w:highlight w:val="yellow"/>
        </w:rPr>
        <w:t xml:space="preserve">podpory z důvodu </w:t>
      </w:r>
      <w:r w:rsidR="00C06F8A" w:rsidRPr="00034AD2">
        <w:rPr>
          <w:i/>
          <w:sz w:val="24"/>
          <w:szCs w:val="24"/>
          <w:highlight w:val="yellow"/>
        </w:rPr>
        <w:t xml:space="preserve">kontroly </w:t>
      </w:r>
      <w:r w:rsidRPr="00034AD2">
        <w:rPr>
          <w:i/>
          <w:sz w:val="24"/>
          <w:szCs w:val="24"/>
          <w:highlight w:val="yellow"/>
        </w:rPr>
        <w:t>její nepřekompenzace</w:t>
      </w:r>
      <w:r w:rsidR="006D6CFB" w:rsidRPr="00034AD2">
        <w:rPr>
          <w:i/>
          <w:sz w:val="24"/>
          <w:szCs w:val="24"/>
          <w:highlight w:val="yellow"/>
        </w:rPr>
        <w:t xml:space="preserve"> resp. přiměřenosti</w:t>
      </w:r>
      <w:r w:rsidR="00C06F8A" w:rsidRPr="00034AD2">
        <w:rPr>
          <w:i/>
          <w:sz w:val="24"/>
          <w:szCs w:val="24"/>
          <w:highlight w:val="yellow"/>
        </w:rPr>
        <w:t>.</w:t>
      </w:r>
      <w:r w:rsidR="00C06F8A">
        <w:rPr>
          <w:i/>
          <w:sz w:val="24"/>
          <w:szCs w:val="24"/>
        </w:rPr>
        <w:t xml:space="preserve"> V těchto rozhodnutích</w:t>
      </w:r>
      <w:r w:rsidR="00D50D48" w:rsidRPr="00FD48F4">
        <w:rPr>
          <w:i/>
          <w:sz w:val="24"/>
          <w:szCs w:val="24"/>
        </w:rPr>
        <w:t xml:space="preserve"> </w:t>
      </w:r>
      <w:r w:rsidR="00997F8E">
        <w:rPr>
          <w:i/>
          <w:sz w:val="24"/>
          <w:szCs w:val="24"/>
        </w:rPr>
        <w:t xml:space="preserve">Evropské komise </w:t>
      </w:r>
      <w:r w:rsidRPr="00FD48F4">
        <w:rPr>
          <w:i/>
          <w:sz w:val="24"/>
          <w:szCs w:val="24"/>
        </w:rPr>
        <w:t xml:space="preserve">byla identifikována </w:t>
      </w:r>
      <w:r w:rsidR="00C06F8A">
        <w:rPr>
          <w:i/>
          <w:sz w:val="24"/>
          <w:szCs w:val="24"/>
        </w:rPr>
        <w:t xml:space="preserve">také </w:t>
      </w:r>
      <w:r w:rsidRPr="00FD48F4">
        <w:rPr>
          <w:i/>
          <w:sz w:val="24"/>
          <w:szCs w:val="24"/>
        </w:rPr>
        <w:t xml:space="preserve">možnost kumulace několika </w:t>
      </w:r>
      <w:r w:rsidR="00997F8E">
        <w:rPr>
          <w:i/>
          <w:sz w:val="24"/>
          <w:szCs w:val="24"/>
        </w:rPr>
        <w:t xml:space="preserve">druhů </w:t>
      </w:r>
      <w:r w:rsidRPr="00FD48F4">
        <w:rPr>
          <w:i/>
          <w:sz w:val="24"/>
          <w:szCs w:val="24"/>
        </w:rPr>
        <w:t xml:space="preserve">podpor. </w:t>
      </w:r>
      <w:r w:rsidR="00D50D48" w:rsidRPr="00FD48F4">
        <w:rPr>
          <w:rFonts w:cstheme="minorHAnsi"/>
          <w:i/>
          <w:sz w:val="24"/>
          <w:szCs w:val="24"/>
        </w:rPr>
        <w:t xml:space="preserve">Dále z této analýzy vyplývá, že </w:t>
      </w:r>
      <w:r w:rsidR="00D50D48" w:rsidRPr="00FD48F4">
        <w:rPr>
          <w:i/>
          <w:sz w:val="24"/>
          <w:szCs w:val="24"/>
        </w:rPr>
        <w:t>v</w:t>
      </w:r>
      <w:r w:rsidRPr="00FD48F4">
        <w:rPr>
          <w:i/>
          <w:sz w:val="24"/>
          <w:szCs w:val="24"/>
        </w:rPr>
        <w:t xml:space="preserve"> žádném z analyzovaných  rozhodnutí </w:t>
      </w:r>
      <w:r w:rsidR="00CC1D2F">
        <w:rPr>
          <w:i/>
          <w:sz w:val="24"/>
          <w:szCs w:val="24"/>
        </w:rPr>
        <w:t xml:space="preserve">Evropské komise u </w:t>
      </w:r>
      <w:r w:rsidRPr="00FD48F4">
        <w:rPr>
          <w:i/>
          <w:sz w:val="24"/>
          <w:szCs w:val="24"/>
        </w:rPr>
        <w:t xml:space="preserve">ostatních členských zemí EU (vyjma Slovinska) není zakotven systém individuálních kontrol u </w:t>
      </w:r>
      <w:r w:rsidR="005C1FB3">
        <w:rPr>
          <w:i/>
          <w:sz w:val="24"/>
          <w:szCs w:val="24"/>
        </w:rPr>
        <w:t>výrobců elektřiny z OZE</w:t>
      </w:r>
      <w:r w:rsidRPr="00FD48F4">
        <w:rPr>
          <w:i/>
          <w:sz w:val="24"/>
          <w:szCs w:val="24"/>
        </w:rPr>
        <w:t xml:space="preserve"> pobírající podporu</w:t>
      </w:r>
      <w:r w:rsidR="008456DA" w:rsidRPr="00FD48F4">
        <w:rPr>
          <w:i/>
          <w:sz w:val="24"/>
          <w:szCs w:val="24"/>
        </w:rPr>
        <w:t xml:space="preserve">. </w:t>
      </w:r>
      <w:r w:rsidR="00997F8E">
        <w:rPr>
          <w:i/>
          <w:sz w:val="24"/>
          <w:szCs w:val="24"/>
        </w:rPr>
        <w:t>V</w:t>
      </w:r>
      <w:r w:rsidRPr="00FD48F4">
        <w:rPr>
          <w:i/>
          <w:sz w:val="24"/>
          <w:szCs w:val="24"/>
        </w:rPr>
        <w:t xml:space="preserve"> analyzovaných rozhodnutích </w:t>
      </w:r>
      <w:r w:rsidR="00CC1D2F">
        <w:rPr>
          <w:i/>
          <w:sz w:val="24"/>
          <w:szCs w:val="24"/>
        </w:rPr>
        <w:t xml:space="preserve">Evropské komise </w:t>
      </w:r>
      <w:r w:rsidR="0067608B">
        <w:rPr>
          <w:i/>
          <w:sz w:val="24"/>
          <w:szCs w:val="24"/>
        </w:rPr>
        <w:t xml:space="preserve">nejsou </w:t>
      </w:r>
      <w:r w:rsidRPr="00FD48F4">
        <w:rPr>
          <w:i/>
          <w:sz w:val="24"/>
          <w:szCs w:val="24"/>
        </w:rPr>
        <w:t xml:space="preserve">uvedeny závazky </w:t>
      </w:r>
      <w:r w:rsidR="000B004B">
        <w:rPr>
          <w:i/>
          <w:sz w:val="24"/>
          <w:szCs w:val="24"/>
        </w:rPr>
        <w:t xml:space="preserve">na </w:t>
      </w:r>
      <w:r w:rsidR="006777CC">
        <w:rPr>
          <w:i/>
          <w:sz w:val="24"/>
          <w:szCs w:val="24"/>
        </w:rPr>
        <w:t>zavedení mech</w:t>
      </w:r>
      <w:r w:rsidR="000B004B">
        <w:rPr>
          <w:i/>
          <w:sz w:val="24"/>
          <w:szCs w:val="24"/>
        </w:rPr>
        <w:t>a</w:t>
      </w:r>
      <w:r w:rsidR="006777CC">
        <w:rPr>
          <w:i/>
          <w:sz w:val="24"/>
          <w:szCs w:val="24"/>
        </w:rPr>
        <w:t xml:space="preserve">nismu kontroly </w:t>
      </w:r>
      <w:r w:rsidR="000B004B">
        <w:rPr>
          <w:i/>
          <w:sz w:val="24"/>
          <w:szCs w:val="24"/>
        </w:rPr>
        <w:t xml:space="preserve">přiměřenosti </w:t>
      </w:r>
      <w:r w:rsidR="0067608B">
        <w:rPr>
          <w:i/>
          <w:sz w:val="24"/>
          <w:szCs w:val="24"/>
        </w:rPr>
        <w:t xml:space="preserve">podpory </w:t>
      </w:r>
      <w:r w:rsidRPr="00FD48F4">
        <w:rPr>
          <w:i/>
          <w:sz w:val="24"/>
          <w:szCs w:val="24"/>
        </w:rPr>
        <w:t>přím</w:t>
      </w:r>
      <w:r w:rsidR="0067608B">
        <w:rPr>
          <w:i/>
          <w:sz w:val="24"/>
          <w:szCs w:val="24"/>
        </w:rPr>
        <w:t>o</w:t>
      </w:r>
      <w:r w:rsidRPr="00FD48F4">
        <w:rPr>
          <w:i/>
          <w:sz w:val="24"/>
          <w:szCs w:val="24"/>
        </w:rPr>
        <w:t xml:space="preserve"> </w:t>
      </w:r>
      <w:r w:rsidR="0067608B" w:rsidRPr="00FD48F4">
        <w:rPr>
          <w:i/>
          <w:sz w:val="24"/>
          <w:szCs w:val="24"/>
        </w:rPr>
        <w:t>provázan</w:t>
      </w:r>
      <w:r w:rsidR="0067608B">
        <w:rPr>
          <w:i/>
          <w:sz w:val="24"/>
          <w:szCs w:val="24"/>
        </w:rPr>
        <w:t>é</w:t>
      </w:r>
      <w:r w:rsidR="0067608B" w:rsidRPr="00FD48F4">
        <w:rPr>
          <w:i/>
          <w:sz w:val="24"/>
          <w:szCs w:val="24"/>
        </w:rPr>
        <w:t xml:space="preserve"> </w:t>
      </w:r>
      <w:r w:rsidRPr="00FD48F4">
        <w:rPr>
          <w:i/>
          <w:sz w:val="24"/>
          <w:szCs w:val="24"/>
        </w:rPr>
        <w:t xml:space="preserve">na konkrétní </w:t>
      </w:r>
      <w:r w:rsidR="000B004B">
        <w:rPr>
          <w:i/>
          <w:sz w:val="24"/>
          <w:szCs w:val="24"/>
        </w:rPr>
        <w:t xml:space="preserve">a </w:t>
      </w:r>
      <w:r w:rsidRPr="00FD48F4">
        <w:rPr>
          <w:i/>
          <w:sz w:val="24"/>
          <w:szCs w:val="24"/>
        </w:rPr>
        <w:t xml:space="preserve">přesné hodnoty </w:t>
      </w:r>
      <w:r w:rsidR="00CC1D2F">
        <w:rPr>
          <w:i/>
          <w:sz w:val="24"/>
          <w:szCs w:val="24"/>
        </w:rPr>
        <w:t>vnitřního výnosového procenta</w:t>
      </w:r>
      <w:r w:rsidR="00CC1D2F" w:rsidRPr="00FD48F4">
        <w:rPr>
          <w:i/>
          <w:sz w:val="24"/>
          <w:szCs w:val="24"/>
        </w:rPr>
        <w:t xml:space="preserve"> </w:t>
      </w:r>
      <w:r w:rsidR="00CC1D2F">
        <w:rPr>
          <w:i/>
          <w:sz w:val="24"/>
          <w:szCs w:val="24"/>
        </w:rPr>
        <w:t xml:space="preserve">(IRR) </w:t>
      </w:r>
      <w:r w:rsidRPr="00FD48F4">
        <w:rPr>
          <w:i/>
          <w:sz w:val="24"/>
          <w:szCs w:val="24"/>
        </w:rPr>
        <w:t xml:space="preserve">jednotlivých druhů a typů OZE. </w:t>
      </w:r>
      <w:r w:rsidR="008456DA" w:rsidRPr="00FD48F4">
        <w:rPr>
          <w:i/>
          <w:sz w:val="24"/>
          <w:szCs w:val="24"/>
        </w:rPr>
        <w:t xml:space="preserve">Zároveň jsou </w:t>
      </w:r>
      <w:r w:rsidR="00D50D48" w:rsidRPr="00FD48F4">
        <w:rPr>
          <w:i/>
          <w:sz w:val="24"/>
          <w:szCs w:val="24"/>
        </w:rPr>
        <w:t>v</w:t>
      </w:r>
      <w:r w:rsidRPr="00FD48F4">
        <w:rPr>
          <w:i/>
          <w:sz w:val="24"/>
          <w:szCs w:val="24"/>
        </w:rPr>
        <w:t xml:space="preserve">e všech analyzovaných rozhodnutích </w:t>
      </w:r>
      <w:r w:rsidR="00CC1D2F">
        <w:rPr>
          <w:i/>
          <w:sz w:val="24"/>
          <w:szCs w:val="24"/>
        </w:rPr>
        <w:t xml:space="preserve">Evropské komise </w:t>
      </w:r>
      <w:r w:rsidRPr="00FD48F4">
        <w:rPr>
          <w:i/>
          <w:sz w:val="24"/>
          <w:szCs w:val="24"/>
        </w:rPr>
        <w:t xml:space="preserve">(vyjma Slovinska) uvedeny hodnoty </w:t>
      </w:r>
      <w:r w:rsidR="00CC1D2F">
        <w:rPr>
          <w:i/>
          <w:sz w:val="24"/>
          <w:szCs w:val="24"/>
        </w:rPr>
        <w:t>vnitřního výnosového procenta (</w:t>
      </w:r>
      <w:r w:rsidRPr="00FD48F4">
        <w:rPr>
          <w:i/>
          <w:sz w:val="24"/>
          <w:szCs w:val="24"/>
        </w:rPr>
        <w:t>IRR</w:t>
      </w:r>
      <w:r w:rsidR="00CC1D2F">
        <w:rPr>
          <w:i/>
          <w:sz w:val="24"/>
          <w:szCs w:val="24"/>
        </w:rPr>
        <w:t>)</w:t>
      </w:r>
      <w:r w:rsidRPr="00FD48F4">
        <w:rPr>
          <w:i/>
          <w:sz w:val="24"/>
          <w:szCs w:val="24"/>
        </w:rPr>
        <w:t>, které jsou na úrovni hodnot uvedených pro ČR</w:t>
      </w:r>
      <w:r w:rsidR="00E52C17">
        <w:rPr>
          <w:i/>
          <w:sz w:val="24"/>
          <w:szCs w:val="24"/>
        </w:rPr>
        <w:t>, pouze v jednom případě byly identifikovány hodnoty vyšší (Slovinsko)</w:t>
      </w:r>
      <w:r w:rsidR="00C06F8A">
        <w:rPr>
          <w:i/>
          <w:sz w:val="24"/>
          <w:szCs w:val="24"/>
        </w:rPr>
        <w:t>.</w:t>
      </w:r>
      <w:r w:rsidR="00D50D48" w:rsidRPr="00FD48F4">
        <w:rPr>
          <w:i/>
          <w:sz w:val="24"/>
          <w:szCs w:val="24"/>
        </w:rPr>
        <w:t xml:space="preserve"> </w:t>
      </w:r>
      <w:r w:rsidR="00C06F8A">
        <w:rPr>
          <w:i/>
          <w:sz w:val="24"/>
          <w:szCs w:val="24"/>
        </w:rPr>
        <w:t>V</w:t>
      </w:r>
      <w:r w:rsidRPr="00FD48F4">
        <w:rPr>
          <w:i/>
          <w:sz w:val="24"/>
          <w:szCs w:val="24"/>
        </w:rPr>
        <w:t xml:space="preserve">ětšina z analyzovaných rozhodnutí </w:t>
      </w:r>
      <w:r w:rsidR="00CC1D2F">
        <w:rPr>
          <w:i/>
          <w:sz w:val="24"/>
          <w:szCs w:val="24"/>
        </w:rPr>
        <w:t xml:space="preserve">Evropské komise </w:t>
      </w:r>
      <w:r w:rsidR="00997F8E" w:rsidRPr="00FD48F4">
        <w:rPr>
          <w:i/>
          <w:sz w:val="24"/>
          <w:szCs w:val="24"/>
        </w:rPr>
        <w:t>p</w:t>
      </w:r>
      <w:r w:rsidR="00C214CA">
        <w:rPr>
          <w:i/>
          <w:sz w:val="24"/>
          <w:szCs w:val="24"/>
        </w:rPr>
        <w:t>osuzovala</w:t>
      </w:r>
      <w:r w:rsidR="00997F8E" w:rsidRPr="00FD48F4">
        <w:rPr>
          <w:i/>
          <w:sz w:val="24"/>
          <w:szCs w:val="24"/>
        </w:rPr>
        <w:t xml:space="preserve"> </w:t>
      </w:r>
      <w:r w:rsidRPr="00FD48F4">
        <w:rPr>
          <w:i/>
          <w:sz w:val="24"/>
          <w:szCs w:val="24"/>
        </w:rPr>
        <w:t>budoucí poskytovanou podporu, nikoliv již vyplácenou podporu</w:t>
      </w:r>
      <w:r w:rsidR="00874C1E">
        <w:rPr>
          <w:i/>
          <w:sz w:val="24"/>
          <w:szCs w:val="24"/>
        </w:rPr>
        <w:t>, jako je tomu v případě ČR</w:t>
      </w:r>
      <w:r w:rsidRPr="00FD48F4">
        <w:rPr>
          <w:i/>
          <w:sz w:val="24"/>
          <w:szCs w:val="24"/>
        </w:rPr>
        <w:t xml:space="preserve">.  </w:t>
      </w:r>
    </w:p>
    <w:p w14:paraId="1106A6F7" w14:textId="7CCDDFC6" w:rsidR="00C77DA0" w:rsidRPr="00C77DA0" w:rsidRDefault="00C77DA0" w:rsidP="00997F8E">
      <w:pPr>
        <w:pStyle w:val="Odstavecseseznamem"/>
        <w:numPr>
          <w:ilvl w:val="0"/>
          <w:numId w:val="35"/>
        </w:numPr>
        <w:spacing w:before="100" w:beforeAutospacing="1" w:after="100" w:afterAutospacing="1" w:line="276" w:lineRule="auto"/>
        <w:jc w:val="both"/>
        <w:rPr>
          <w:b/>
          <w:i/>
          <w:sz w:val="24"/>
          <w:szCs w:val="24"/>
        </w:rPr>
      </w:pPr>
      <w:r w:rsidRPr="00C77DA0">
        <w:rPr>
          <w:b/>
          <w:i/>
          <w:sz w:val="24"/>
          <w:szCs w:val="24"/>
        </w:rPr>
        <w:t>Postup provádění mech</w:t>
      </w:r>
      <w:r w:rsidR="00C214CA">
        <w:rPr>
          <w:b/>
          <w:i/>
          <w:sz w:val="24"/>
          <w:szCs w:val="24"/>
        </w:rPr>
        <w:t>a</w:t>
      </w:r>
      <w:r w:rsidRPr="00C77DA0">
        <w:rPr>
          <w:b/>
          <w:i/>
          <w:sz w:val="24"/>
          <w:szCs w:val="24"/>
        </w:rPr>
        <w:t xml:space="preserve">nismu </w:t>
      </w:r>
      <w:r w:rsidR="00593AAF">
        <w:rPr>
          <w:b/>
          <w:i/>
          <w:sz w:val="24"/>
          <w:szCs w:val="24"/>
        </w:rPr>
        <w:t xml:space="preserve">kontroly přiměřenosti podpory </w:t>
      </w:r>
    </w:p>
    <w:p w14:paraId="4AA8E8A5" w14:textId="77777777" w:rsidR="00AB7ECE" w:rsidRPr="003A052B" w:rsidRDefault="00AB7ECE" w:rsidP="00AB7ECE">
      <w:pPr>
        <w:pStyle w:val="Default"/>
        <w:autoSpaceDE/>
        <w:autoSpaceDN/>
        <w:adjustRightInd/>
        <w:spacing w:before="100" w:beforeAutospacing="1" w:after="100" w:afterAutospacing="1" w:line="276" w:lineRule="auto"/>
        <w:jc w:val="both"/>
        <w:rPr>
          <w:rFonts w:asciiTheme="minorHAnsi" w:eastAsiaTheme="minorHAnsi" w:hAnsiTheme="minorHAnsi"/>
          <w:i/>
          <w:color w:val="auto"/>
        </w:rPr>
      </w:pPr>
      <w:r w:rsidRPr="00034AD2">
        <w:rPr>
          <w:rFonts w:asciiTheme="minorHAnsi" w:hAnsiTheme="minorHAnsi"/>
          <w:i/>
          <w:highlight w:val="yellow"/>
        </w:rPr>
        <w:t>Cílem závazku na zavedení mechanismu kontroly přiměřenosti podpory, je zjištění zda nedochází při poskytování podpory k možné překompenzaci podpory, a v případě, že ano, pak aplikace vhodných opatření na eliminaci překompenzace podpory.</w:t>
      </w:r>
      <w:r w:rsidRPr="003A052B">
        <w:rPr>
          <w:rFonts w:asciiTheme="minorHAnsi" w:hAnsiTheme="minorHAnsi"/>
          <w:i/>
        </w:rPr>
        <w:t xml:space="preserve"> </w:t>
      </w:r>
    </w:p>
    <w:p w14:paraId="35B1BB20" w14:textId="77777777" w:rsidR="00AB7ECE" w:rsidRPr="003A052B" w:rsidRDefault="00AB7ECE" w:rsidP="00AB7ECE">
      <w:pPr>
        <w:pStyle w:val="slovanseznam"/>
        <w:numPr>
          <w:ilvl w:val="0"/>
          <w:numId w:val="0"/>
        </w:numPr>
        <w:tabs>
          <w:tab w:val="clear" w:pos="851"/>
          <w:tab w:val="left" w:pos="0"/>
          <w:tab w:val="left" w:pos="142"/>
        </w:tabs>
        <w:spacing w:before="100" w:beforeAutospacing="1" w:after="100" w:afterAutospacing="1" w:line="276" w:lineRule="auto"/>
        <w:rPr>
          <w:rFonts w:asciiTheme="minorHAnsi" w:hAnsiTheme="minorHAnsi"/>
          <w:i/>
          <w:szCs w:val="24"/>
        </w:rPr>
      </w:pPr>
      <w:r w:rsidRPr="003A052B">
        <w:rPr>
          <w:rFonts w:asciiTheme="minorHAnsi" w:hAnsiTheme="minorHAnsi"/>
          <w:i/>
          <w:szCs w:val="24"/>
          <w:lang w:val="cs-CZ"/>
        </w:rPr>
        <w:t xml:space="preserve">Překompenzace podpory může/mohla vzniknout především </w:t>
      </w:r>
      <w:r w:rsidRPr="003A052B">
        <w:rPr>
          <w:rFonts w:asciiTheme="minorHAnsi" w:hAnsiTheme="minorHAnsi"/>
          <w:i/>
          <w:szCs w:val="24"/>
        </w:rPr>
        <w:t xml:space="preserve">na základě kumulace podpory elektřiny z OZE s jinou provozní podporou nebo investiční podporou nebo nadhodnocením některé z položek výrobních nákladů, které jsou při výpočtu výše podpory elektřiny z OZE zohledňovány. Překompenzace podpory je vymezena tak, že se jedná o nabytí výnosů v takové celkové výši, která by vyústila v návratnost investic překračující přípustný rozsah </w:t>
      </w:r>
      <w:r w:rsidRPr="003A052B">
        <w:rPr>
          <w:rFonts w:asciiTheme="minorHAnsi" w:hAnsiTheme="minorHAnsi"/>
          <w:i/>
          <w:szCs w:val="24"/>
        </w:rPr>
        <w:lastRenderedPageBreak/>
        <w:t xml:space="preserve">stanovený v rozhodnutí Evropské komise jako maximální hodnoty vnitřního výnosového procenta investic </w:t>
      </w:r>
    </w:p>
    <w:p w14:paraId="740B0A87" w14:textId="7E6477EA" w:rsidR="00AB7ECE" w:rsidRPr="003A052B" w:rsidRDefault="00AB7ECE" w:rsidP="00AB7ECE">
      <w:pPr>
        <w:pStyle w:val="slovanseznam"/>
        <w:numPr>
          <w:ilvl w:val="0"/>
          <w:numId w:val="0"/>
        </w:numPr>
        <w:tabs>
          <w:tab w:val="clear" w:pos="851"/>
          <w:tab w:val="left" w:pos="0"/>
          <w:tab w:val="left" w:pos="142"/>
        </w:tabs>
        <w:spacing w:before="100" w:beforeAutospacing="1" w:after="100" w:afterAutospacing="1" w:line="276" w:lineRule="auto"/>
        <w:rPr>
          <w:rFonts w:asciiTheme="minorHAnsi" w:hAnsiTheme="minorHAnsi"/>
          <w:i/>
          <w:szCs w:val="24"/>
        </w:rPr>
      </w:pPr>
      <w:r w:rsidRPr="003A052B">
        <w:rPr>
          <w:rFonts w:asciiTheme="minorHAnsi" w:hAnsiTheme="minorHAnsi"/>
          <w:i/>
          <w:szCs w:val="24"/>
          <w:lang w:val="cs-CZ"/>
        </w:rPr>
        <w:t xml:space="preserve">Základním nástrojem mechanismu kontroly přiměřenosti podpory je </w:t>
      </w:r>
      <w:r w:rsidRPr="003A052B">
        <w:rPr>
          <w:rFonts w:asciiTheme="minorHAnsi" w:hAnsiTheme="minorHAnsi"/>
          <w:i/>
          <w:szCs w:val="24"/>
        </w:rPr>
        <w:t>monitoring celkové úrovně podpory. Kontrola přiměřenosti podpory má být provedena do 10 let po uvedení zařízení do provozu (u zdrojů uvedených do provozu v období 2006-2008, pak do konce února 2019).</w:t>
      </w:r>
    </w:p>
    <w:p w14:paraId="669FC172" w14:textId="48C9DB85" w:rsidR="00AB7ECE" w:rsidRPr="003A052B" w:rsidRDefault="00AB7ECE" w:rsidP="00AB7ECE">
      <w:pPr>
        <w:pStyle w:val="slovanseznam"/>
        <w:numPr>
          <w:ilvl w:val="0"/>
          <w:numId w:val="0"/>
        </w:numPr>
        <w:tabs>
          <w:tab w:val="clear" w:pos="851"/>
          <w:tab w:val="left" w:pos="0"/>
        </w:tabs>
        <w:spacing w:before="100" w:beforeAutospacing="1" w:after="100" w:afterAutospacing="1" w:line="276" w:lineRule="auto"/>
        <w:rPr>
          <w:rFonts w:asciiTheme="minorHAnsi" w:hAnsiTheme="minorHAnsi"/>
          <w:i/>
          <w:szCs w:val="24"/>
          <w:lang w:val="cs-CZ"/>
        </w:rPr>
      </w:pPr>
      <w:r w:rsidRPr="003A052B">
        <w:rPr>
          <w:rFonts w:asciiTheme="minorHAnsi" w:hAnsiTheme="minorHAnsi"/>
          <w:i/>
          <w:szCs w:val="24"/>
          <w:lang w:val="cs-CZ"/>
        </w:rPr>
        <w:t>Úroveň mechanismu kontroly přiměřenosti podpory je rozdělen podle toho, zda výrobce elektřiny čerpal pouze podporu elektřiny z OZE nebo zda docházelo ke kumulaci této podpory s dalšími provozními podporami (např. podporou elektřiny z vysokoúčinné kombinované výroby elektřiny a tepla) anebo s investiční podporou.</w:t>
      </w:r>
    </w:p>
    <w:p w14:paraId="19CD1B8B" w14:textId="0CF11A4C" w:rsidR="00AB7ECE" w:rsidRPr="003A052B" w:rsidRDefault="00AB7ECE" w:rsidP="00AB7ECE">
      <w:pPr>
        <w:pStyle w:val="Textpoznpodarou"/>
        <w:tabs>
          <w:tab w:val="left" w:pos="0"/>
        </w:tabs>
        <w:spacing w:before="100" w:beforeAutospacing="1" w:after="100" w:afterAutospacing="1" w:line="276" w:lineRule="auto"/>
        <w:jc w:val="both"/>
        <w:rPr>
          <w:rFonts w:cs="Times New Roman"/>
          <w:i/>
          <w:sz w:val="24"/>
          <w:szCs w:val="24"/>
          <w:lang w:val="cs-CZ"/>
        </w:rPr>
      </w:pPr>
      <w:r w:rsidRPr="003A052B">
        <w:rPr>
          <w:rFonts w:cs="Times New Roman"/>
          <w:i/>
          <w:sz w:val="24"/>
          <w:szCs w:val="24"/>
          <w:lang w:val="cs-CZ"/>
        </w:rPr>
        <w:t>V p</w:t>
      </w:r>
      <w:r w:rsidR="00CC08A5" w:rsidRPr="00CC08A5">
        <w:rPr>
          <w:rFonts w:cs="Times New Roman"/>
          <w:i/>
          <w:sz w:val="24"/>
          <w:szCs w:val="24"/>
          <w:lang w:val="cs-CZ"/>
        </w:rPr>
        <w:t xml:space="preserve">řípadě uplatňování pouze </w:t>
      </w:r>
      <w:r w:rsidRPr="003A052B">
        <w:rPr>
          <w:rFonts w:cs="Times New Roman"/>
          <w:i/>
          <w:sz w:val="24"/>
          <w:szCs w:val="24"/>
          <w:lang w:val="cs-CZ"/>
        </w:rPr>
        <w:t>podpory elektřiny z OZE má být mechanismus kontroly přiměřenosti podpory proveden na úrovni reprezentativního vzorku různých kateg</w:t>
      </w:r>
      <w:r w:rsidR="00CC08A5" w:rsidRPr="00CC08A5">
        <w:rPr>
          <w:rFonts w:cs="Times New Roman"/>
          <w:i/>
          <w:sz w:val="24"/>
          <w:szCs w:val="24"/>
          <w:lang w:val="cs-CZ"/>
        </w:rPr>
        <w:t>orií zařízení (výkonová hladina anebo</w:t>
      </w:r>
      <w:r w:rsidRPr="003A052B">
        <w:rPr>
          <w:rFonts w:cs="Times New Roman"/>
          <w:i/>
          <w:sz w:val="24"/>
          <w:szCs w:val="24"/>
          <w:lang w:val="cs-CZ"/>
        </w:rPr>
        <w:t xml:space="preserve"> doba uvedení zařízení do provozu) a zaměření kontroly bude na výrobní náklady.</w:t>
      </w:r>
    </w:p>
    <w:p w14:paraId="6CA650E6" w14:textId="7F7BCF15" w:rsidR="00AB7ECE" w:rsidRPr="003A052B" w:rsidRDefault="00AB7ECE" w:rsidP="00AB7ECE">
      <w:pPr>
        <w:pStyle w:val="Textpoznpodarou"/>
        <w:tabs>
          <w:tab w:val="left" w:pos="0"/>
        </w:tabs>
        <w:spacing w:before="100" w:beforeAutospacing="1" w:after="100" w:afterAutospacing="1" w:line="276" w:lineRule="auto"/>
        <w:jc w:val="both"/>
        <w:rPr>
          <w:rFonts w:cs="Times New Roman"/>
          <w:i/>
          <w:sz w:val="24"/>
          <w:szCs w:val="24"/>
          <w:lang w:val="cs-CZ"/>
        </w:rPr>
      </w:pPr>
      <w:r w:rsidRPr="003A052B">
        <w:rPr>
          <w:rFonts w:cs="Times New Roman"/>
          <w:i/>
          <w:sz w:val="24"/>
          <w:szCs w:val="24"/>
          <w:lang w:val="cs-CZ"/>
        </w:rPr>
        <w:t>V případě kdy docházelo u výrobce elektřiny ke kumulaci podpory elektřiny z OZE s dalšími provozními podporami anebo investiční podporou – má být kontrola provedena na úrovni jednotlivých zařízení (výroben elektřiny), tedy tzv. individuální kontrola a zaměření mechanismu kontroly přiměřenosti podpory bude na výrobní náklady a na kumulaci dalších poskytnutých podpor.</w:t>
      </w:r>
    </w:p>
    <w:p w14:paraId="437A8A9B" w14:textId="0C9306E2" w:rsidR="00AB7ECE" w:rsidRPr="003A052B" w:rsidRDefault="00AB7ECE" w:rsidP="00AB7ECE">
      <w:pPr>
        <w:pStyle w:val="Normlnweb"/>
        <w:tabs>
          <w:tab w:val="left" w:pos="0"/>
        </w:tabs>
        <w:spacing w:line="276" w:lineRule="auto"/>
        <w:jc w:val="both"/>
        <w:rPr>
          <w:rFonts w:asciiTheme="minorHAnsi" w:hAnsiTheme="minorHAnsi"/>
          <w:i/>
        </w:rPr>
      </w:pPr>
      <w:r w:rsidRPr="003A052B">
        <w:rPr>
          <w:rFonts w:asciiTheme="minorHAnsi" w:hAnsiTheme="minorHAnsi"/>
          <w:i/>
        </w:rPr>
        <w:t>Z  mechanismu kontroly přiměřenosti podpory budou vyloučeny zdroje, které čerpají podporu do maximální výše de minimis stanovené v nařízení Komise č 1407/2013 o uplatnění článků 107 a 108 Smlouvy o fungování Evropské unie, což pro jeden podnik činí 200 tis. Euro za 3 roky.</w:t>
      </w:r>
    </w:p>
    <w:p w14:paraId="4F242A4F" w14:textId="5CA64015" w:rsidR="00AB7ECE" w:rsidRPr="003A052B" w:rsidRDefault="00AB7ECE" w:rsidP="00AB7ECE">
      <w:pPr>
        <w:tabs>
          <w:tab w:val="left" w:pos="0"/>
        </w:tabs>
        <w:overflowPunct/>
        <w:autoSpaceDE/>
        <w:autoSpaceDN/>
        <w:adjustRightInd/>
        <w:spacing w:before="100" w:beforeAutospacing="1" w:after="100" w:afterAutospacing="1" w:line="276" w:lineRule="auto"/>
        <w:jc w:val="both"/>
        <w:textAlignment w:val="auto"/>
        <w:rPr>
          <w:i/>
          <w:sz w:val="24"/>
          <w:szCs w:val="24"/>
        </w:rPr>
      </w:pPr>
      <w:r w:rsidRPr="003A052B">
        <w:rPr>
          <w:i/>
          <w:sz w:val="24"/>
          <w:szCs w:val="24"/>
        </w:rPr>
        <w:t>Mechanismu kontroly přiměřenosti podpory je navrhován v jednotlivých postupných krocích, které budou oddělovat zdroje OZE, které čerpaly pouze podporu elektřiny z OZE a na zdroje OZE, které kumulovaly několik druhů podpor (provozních a investiční). V rámci těchto postupných kroků se navrhuje v případě zdrojů, které kumulují několik druhů podpor rozdělení na skupiny podle jednotlivých druhů ostatních podpor, které byly čerpány spolu s podporou elektřiny z OZE. U zdrojů OZE, kde docházelo ke kumulaci podpor, se navrhuje dále zavést rozčlenění na zjednodušenou (předběžnou) a podrobnou kontrolu, kdy zjednodušená kontrola je prováděna na vybraném širokém vzorku zdrojů OZE a dokáže podávat již předběžné signály o přiměřenosti podpory nebo naopak o její překompenzaci a formovat tak již případná vhodná nápravná opatření.</w:t>
      </w:r>
    </w:p>
    <w:p w14:paraId="4A21C3FC" w14:textId="16E4D538" w:rsidR="00AB7ECE" w:rsidRPr="003A052B" w:rsidRDefault="00AB7ECE" w:rsidP="00AB7ECE">
      <w:pPr>
        <w:tabs>
          <w:tab w:val="left" w:pos="0"/>
        </w:tabs>
        <w:overflowPunct/>
        <w:autoSpaceDE/>
        <w:autoSpaceDN/>
        <w:adjustRightInd/>
        <w:spacing w:before="100" w:beforeAutospacing="1" w:after="100" w:afterAutospacing="1" w:line="276" w:lineRule="auto"/>
        <w:jc w:val="both"/>
        <w:textAlignment w:val="auto"/>
        <w:rPr>
          <w:i/>
          <w:sz w:val="24"/>
          <w:szCs w:val="24"/>
        </w:rPr>
      </w:pPr>
      <w:r w:rsidRPr="003A052B">
        <w:rPr>
          <w:i/>
          <w:sz w:val="24"/>
          <w:szCs w:val="24"/>
        </w:rPr>
        <w:lastRenderedPageBreak/>
        <w:t>Při identifikaci překompenzace podpory budou zavedena opatření, která zajistí, aby k překompenzaci podpory nedocházelo a aby v případě nutnosti tato překompenzovaná podpora byla získána zpět.</w:t>
      </w:r>
    </w:p>
    <w:p w14:paraId="779AAD3D" w14:textId="163C263D" w:rsidR="00AB7ECE" w:rsidRPr="00CC08A5" w:rsidRDefault="00214129" w:rsidP="00AB7ECE">
      <w:pPr>
        <w:pStyle w:val="Normlnweb"/>
        <w:numPr>
          <w:ilvl w:val="0"/>
          <w:numId w:val="35"/>
        </w:numPr>
        <w:spacing w:line="276" w:lineRule="auto"/>
        <w:jc w:val="both"/>
        <w:rPr>
          <w:rFonts w:asciiTheme="minorHAnsi" w:hAnsiTheme="minorHAnsi"/>
          <w:i/>
        </w:rPr>
      </w:pPr>
      <w:r>
        <w:rPr>
          <w:rFonts w:asciiTheme="minorHAnsi" w:hAnsiTheme="minorHAnsi"/>
          <w:b/>
          <w:i/>
        </w:rPr>
        <w:t>R</w:t>
      </w:r>
      <w:r w:rsidR="00AB7ECE" w:rsidRPr="00214129">
        <w:rPr>
          <w:rFonts w:asciiTheme="minorHAnsi" w:hAnsiTheme="minorHAnsi"/>
          <w:b/>
          <w:i/>
        </w:rPr>
        <w:t>ozsah mechanismu kontroly přiměřenosti podpory</w:t>
      </w:r>
    </w:p>
    <w:p w14:paraId="009EE102" w14:textId="373D709A" w:rsidR="008F11FB" w:rsidRPr="00C77DA0" w:rsidRDefault="00AB7ECE" w:rsidP="004713EF">
      <w:pPr>
        <w:pStyle w:val="Odstavecseseznamem"/>
        <w:tabs>
          <w:tab w:val="left" w:pos="0"/>
        </w:tabs>
        <w:overflowPunct/>
        <w:autoSpaceDE/>
        <w:autoSpaceDN/>
        <w:adjustRightInd/>
        <w:spacing w:before="100" w:beforeAutospacing="1" w:after="100" w:afterAutospacing="1" w:line="276" w:lineRule="auto"/>
        <w:ind w:left="0"/>
        <w:jc w:val="both"/>
        <w:textAlignment w:val="auto"/>
        <w:rPr>
          <w:i/>
          <w:sz w:val="24"/>
          <w:szCs w:val="24"/>
        </w:rPr>
      </w:pPr>
      <w:r w:rsidRPr="003A052B">
        <w:rPr>
          <w:i/>
          <w:sz w:val="24"/>
          <w:szCs w:val="24"/>
        </w:rPr>
        <w:t xml:space="preserve">Celá aplikace závazků na mechanismu kontroly přiměřenosti podpory je navržena tak, aby byla zacílena co možná nejefektivněji – tedy na kontrolu pokud možno co nejmenšího počtu zdrojů, které však čerpají největší podíl z celkového ročního množství vyplacené podpory. </w:t>
      </w:r>
      <w:r w:rsidR="008F11FB" w:rsidRPr="00C77DA0">
        <w:rPr>
          <w:i/>
          <w:sz w:val="24"/>
          <w:szCs w:val="24"/>
        </w:rPr>
        <w:t xml:space="preserve">Návrh aplikace závazků na </w:t>
      </w:r>
      <w:r w:rsidR="00CC1D2F" w:rsidRPr="00C77DA0">
        <w:rPr>
          <w:i/>
          <w:sz w:val="24"/>
          <w:szCs w:val="24"/>
        </w:rPr>
        <w:t xml:space="preserve">mechanismus </w:t>
      </w:r>
      <w:r w:rsidR="00593AAF">
        <w:rPr>
          <w:i/>
          <w:sz w:val="24"/>
          <w:szCs w:val="24"/>
        </w:rPr>
        <w:t xml:space="preserve">kontroly přiměřenosti </w:t>
      </w:r>
      <w:r w:rsidR="008F11FB" w:rsidRPr="00C77DA0">
        <w:rPr>
          <w:i/>
          <w:sz w:val="24"/>
          <w:szCs w:val="24"/>
        </w:rPr>
        <w:t xml:space="preserve"> </w:t>
      </w:r>
      <w:r w:rsidR="00C06F8A" w:rsidRPr="00C77DA0">
        <w:rPr>
          <w:i/>
          <w:sz w:val="24"/>
          <w:szCs w:val="24"/>
        </w:rPr>
        <w:t xml:space="preserve">podpory </w:t>
      </w:r>
      <w:r w:rsidR="008F11FB" w:rsidRPr="00C77DA0">
        <w:rPr>
          <w:i/>
          <w:sz w:val="24"/>
          <w:szCs w:val="24"/>
        </w:rPr>
        <w:t xml:space="preserve">je tak zaměřen pouze na </w:t>
      </w:r>
      <w:r w:rsidR="00D72765" w:rsidRPr="00C77DA0">
        <w:rPr>
          <w:i/>
          <w:sz w:val="24"/>
          <w:szCs w:val="24"/>
        </w:rPr>
        <w:t>3 </w:t>
      </w:r>
      <w:r w:rsidR="005821FA" w:rsidRPr="00C77DA0">
        <w:rPr>
          <w:i/>
          <w:sz w:val="24"/>
          <w:szCs w:val="24"/>
        </w:rPr>
        <w:t xml:space="preserve">349 </w:t>
      </w:r>
      <w:r w:rsidR="00D72765" w:rsidRPr="00C77DA0">
        <w:rPr>
          <w:i/>
          <w:sz w:val="24"/>
          <w:szCs w:val="24"/>
        </w:rPr>
        <w:t>zdrojů</w:t>
      </w:r>
      <w:r w:rsidR="00C214CA">
        <w:rPr>
          <w:i/>
          <w:sz w:val="24"/>
          <w:szCs w:val="24"/>
        </w:rPr>
        <w:t xml:space="preserve"> (čerpáno z údajů ze systému OTE, a.s. (operátor trhu), který poskytuje provozní podporu)</w:t>
      </w:r>
      <w:r w:rsidR="00D72765" w:rsidRPr="00C77DA0">
        <w:rPr>
          <w:i/>
          <w:sz w:val="24"/>
          <w:szCs w:val="24"/>
        </w:rPr>
        <w:t xml:space="preserve">, což je </w:t>
      </w:r>
      <w:r w:rsidR="00C06F8A" w:rsidRPr="00C77DA0">
        <w:rPr>
          <w:i/>
          <w:sz w:val="24"/>
          <w:szCs w:val="24"/>
        </w:rPr>
        <w:t xml:space="preserve">jen </w:t>
      </w:r>
      <w:r w:rsidR="008F11FB" w:rsidRPr="00C77DA0">
        <w:rPr>
          <w:i/>
          <w:sz w:val="24"/>
          <w:szCs w:val="24"/>
        </w:rPr>
        <w:t>1</w:t>
      </w:r>
      <w:r w:rsidR="005821FA" w:rsidRPr="00C77DA0">
        <w:rPr>
          <w:i/>
          <w:sz w:val="24"/>
          <w:szCs w:val="24"/>
        </w:rPr>
        <w:t>0</w:t>
      </w:r>
      <w:r w:rsidR="008F11FB" w:rsidRPr="00C77DA0">
        <w:rPr>
          <w:i/>
          <w:sz w:val="24"/>
          <w:szCs w:val="24"/>
        </w:rPr>
        <w:t>,</w:t>
      </w:r>
      <w:r w:rsidR="005821FA" w:rsidRPr="00C77DA0">
        <w:rPr>
          <w:i/>
          <w:sz w:val="24"/>
          <w:szCs w:val="24"/>
        </w:rPr>
        <w:t>79</w:t>
      </w:r>
      <w:r w:rsidR="008F11FB" w:rsidRPr="00C77DA0">
        <w:rPr>
          <w:i/>
          <w:sz w:val="24"/>
          <w:szCs w:val="24"/>
        </w:rPr>
        <w:t xml:space="preserve"> % </w:t>
      </w:r>
      <w:r w:rsidR="00E52C17" w:rsidRPr="00C77DA0">
        <w:rPr>
          <w:i/>
          <w:sz w:val="24"/>
          <w:szCs w:val="24"/>
        </w:rPr>
        <w:t xml:space="preserve">z celkového </w:t>
      </w:r>
      <w:r w:rsidR="008F11FB" w:rsidRPr="00C77DA0">
        <w:rPr>
          <w:i/>
          <w:sz w:val="24"/>
          <w:szCs w:val="24"/>
        </w:rPr>
        <w:t xml:space="preserve">počtu zdrojů </w:t>
      </w:r>
      <w:r w:rsidR="00CC1D2F" w:rsidRPr="00C77DA0">
        <w:rPr>
          <w:i/>
          <w:sz w:val="24"/>
          <w:szCs w:val="24"/>
        </w:rPr>
        <w:t xml:space="preserve">OZE </w:t>
      </w:r>
      <w:r w:rsidR="008F11FB" w:rsidRPr="00C77DA0">
        <w:rPr>
          <w:i/>
          <w:sz w:val="24"/>
          <w:szCs w:val="24"/>
        </w:rPr>
        <w:t>čerpají</w:t>
      </w:r>
      <w:r w:rsidR="00A109B8" w:rsidRPr="00C77DA0">
        <w:rPr>
          <w:i/>
          <w:sz w:val="24"/>
          <w:szCs w:val="24"/>
        </w:rPr>
        <w:t>cí</w:t>
      </w:r>
      <w:r w:rsidR="008F11FB" w:rsidRPr="00C77DA0">
        <w:rPr>
          <w:i/>
          <w:sz w:val="24"/>
          <w:szCs w:val="24"/>
        </w:rPr>
        <w:t xml:space="preserve"> podporu</w:t>
      </w:r>
      <w:r w:rsidR="00C06F8A" w:rsidRPr="00C77DA0">
        <w:rPr>
          <w:i/>
          <w:sz w:val="24"/>
          <w:szCs w:val="24"/>
        </w:rPr>
        <w:t>.</w:t>
      </w:r>
      <w:r w:rsidR="00CC1D2F" w:rsidRPr="00C77DA0">
        <w:rPr>
          <w:i/>
          <w:sz w:val="24"/>
          <w:szCs w:val="24"/>
        </w:rPr>
        <w:t xml:space="preserve"> </w:t>
      </w:r>
      <w:r w:rsidR="00C06F8A" w:rsidRPr="00C77DA0">
        <w:rPr>
          <w:i/>
          <w:sz w:val="24"/>
          <w:szCs w:val="24"/>
        </w:rPr>
        <w:t>T</w:t>
      </w:r>
      <w:r w:rsidR="008F11FB" w:rsidRPr="00C77DA0">
        <w:rPr>
          <w:i/>
          <w:sz w:val="24"/>
          <w:szCs w:val="24"/>
        </w:rPr>
        <w:t xml:space="preserve">ento omezený počet zdrojů </w:t>
      </w:r>
      <w:r w:rsidR="00CC1D2F" w:rsidRPr="00C77DA0">
        <w:rPr>
          <w:i/>
          <w:sz w:val="24"/>
          <w:szCs w:val="24"/>
        </w:rPr>
        <w:t xml:space="preserve">OZE čerpal v roce 2015 </w:t>
      </w:r>
      <w:r w:rsidR="008F11FB" w:rsidRPr="00C77DA0">
        <w:rPr>
          <w:i/>
          <w:sz w:val="24"/>
          <w:szCs w:val="24"/>
        </w:rPr>
        <w:t xml:space="preserve">podporu </w:t>
      </w:r>
      <w:r w:rsidR="00CC1D2F" w:rsidRPr="00C77DA0">
        <w:rPr>
          <w:i/>
          <w:sz w:val="24"/>
          <w:szCs w:val="24"/>
        </w:rPr>
        <w:t xml:space="preserve">ve </w:t>
      </w:r>
      <w:r w:rsidR="008F11FB" w:rsidRPr="00C77DA0">
        <w:rPr>
          <w:i/>
          <w:sz w:val="24"/>
          <w:szCs w:val="24"/>
        </w:rPr>
        <w:t> </w:t>
      </w:r>
      <w:r w:rsidR="00CC1D2F" w:rsidRPr="00C77DA0">
        <w:rPr>
          <w:i/>
          <w:sz w:val="24"/>
          <w:szCs w:val="24"/>
        </w:rPr>
        <w:t xml:space="preserve">výši </w:t>
      </w:r>
      <w:r w:rsidR="008F11FB" w:rsidRPr="00C77DA0">
        <w:rPr>
          <w:i/>
          <w:sz w:val="24"/>
          <w:szCs w:val="24"/>
        </w:rPr>
        <w:t>3</w:t>
      </w:r>
      <w:r w:rsidR="005821FA" w:rsidRPr="00C77DA0">
        <w:rPr>
          <w:i/>
          <w:sz w:val="24"/>
          <w:szCs w:val="24"/>
        </w:rPr>
        <w:t>6</w:t>
      </w:r>
      <w:r w:rsidR="008F11FB" w:rsidRPr="00C77DA0">
        <w:rPr>
          <w:i/>
          <w:sz w:val="24"/>
          <w:szCs w:val="24"/>
        </w:rPr>
        <w:t>,</w:t>
      </w:r>
      <w:r w:rsidR="005821FA" w:rsidRPr="00C77DA0">
        <w:rPr>
          <w:i/>
          <w:sz w:val="24"/>
          <w:szCs w:val="24"/>
        </w:rPr>
        <w:t>64</w:t>
      </w:r>
      <w:r w:rsidR="008F11FB" w:rsidRPr="00C77DA0">
        <w:rPr>
          <w:i/>
          <w:sz w:val="24"/>
          <w:szCs w:val="24"/>
        </w:rPr>
        <w:t xml:space="preserve"> mld. Kč, což je </w:t>
      </w:r>
      <w:r w:rsidR="005821FA" w:rsidRPr="00C77DA0">
        <w:rPr>
          <w:i/>
          <w:sz w:val="24"/>
          <w:szCs w:val="24"/>
        </w:rPr>
        <w:t>89,2</w:t>
      </w:r>
      <w:r w:rsidR="008F11FB" w:rsidRPr="00C77DA0">
        <w:rPr>
          <w:i/>
          <w:sz w:val="24"/>
          <w:szCs w:val="24"/>
        </w:rPr>
        <w:t xml:space="preserve"> % z celkově vyplacené podpory za rok 2015. V linii kontroly reprezentativního vzorku zdrojů </w:t>
      </w:r>
      <w:r w:rsidR="005821FA" w:rsidRPr="00C77DA0">
        <w:rPr>
          <w:i/>
          <w:sz w:val="24"/>
          <w:szCs w:val="24"/>
        </w:rPr>
        <w:t xml:space="preserve">(pokud by byl ověřením splněn předpoklad zanedbatelného ovlivnění podpory decentrální výroby elektřiny v případě  </w:t>
      </w:r>
      <w:r w:rsidR="00C214CA">
        <w:rPr>
          <w:i/>
          <w:sz w:val="24"/>
          <w:szCs w:val="24"/>
        </w:rPr>
        <w:t xml:space="preserve">její </w:t>
      </w:r>
      <w:r w:rsidR="005821FA" w:rsidRPr="00C77DA0">
        <w:rPr>
          <w:i/>
          <w:sz w:val="24"/>
          <w:szCs w:val="24"/>
        </w:rPr>
        <w:t>k</w:t>
      </w:r>
      <w:r w:rsidR="009417FA" w:rsidRPr="00C77DA0">
        <w:rPr>
          <w:i/>
          <w:sz w:val="24"/>
          <w:szCs w:val="24"/>
        </w:rPr>
        <w:t>u</w:t>
      </w:r>
      <w:r w:rsidR="005821FA" w:rsidRPr="00C77DA0">
        <w:rPr>
          <w:i/>
          <w:sz w:val="24"/>
          <w:szCs w:val="24"/>
        </w:rPr>
        <w:t xml:space="preserve">mulace </w:t>
      </w:r>
      <w:r w:rsidR="00C214CA">
        <w:rPr>
          <w:i/>
          <w:sz w:val="24"/>
          <w:szCs w:val="24"/>
        </w:rPr>
        <w:t xml:space="preserve">s </w:t>
      </w:r>
      <w:r w:rsidR="005821FA" w:rsidRPr="00C77DA0">
        <w:rPr>
          <w:i/>
          <w:sz w:val="24"/>
          <w:szCs w:val="24"/>
        </w:rPr>
        <w:t xml:space="preserve">provozní </w:t>
      </w:r>
      <w:r w:rsidR="00C214CA" w:rsidRPr="00C77DA0">
        <w:rPr>
          <w:i/>
          <w:sz w:val="24"/>
          <w:szCs w:val="24"/>
        </w:rPr>
        <w:t>podpor</w:t>
      </w:r>
      <w:r w:rsidR="00C214CA">
        <w:rPr>
          <w:i/>
          <w:sz w:val="24"/>
          <w:szCs w:val="24"/>
        </w:rPr>
        <w:t>ou</w:t>
      </w:r>
      <w:r w:rsidR="00C214CA" w:rsidRPr="00C77DA0">
        <w:rPr>
          <w:i/>
          <w:sz w:val="24"/>
          <w:szCs w:val="24"/>
        </w:rPr>
        <w:t xml:space="preserve"> </w:t>
      </w:r>
      <w:r w:rsidR="005821FA" w:rsidRPr="00C77DA0">
        <w:rPr>
          <w:i/>
          <w:sz w:val="24"/>
          <w:szCs w:val="24"/>
        </w:rPr>
        <w:t xml:space="preserve">elektřiny z OZE) </w:t>
      </w:r>
      <w:r w:rsidR="008F11FB" w:rsidRPr="00C77DA0">
        <w:rPr>
          <w:i/>
          <w:sz w:val="24"/>
          <w:szCs w:val="24"/>
        </w:rPr>
        <w:t xml:space="preserve">by mělo být zařazeno </w:t>
      </w:r>
      <w:r w:rsidR="005821FA" w:rsidRPr="00C77DA0">
        <w:rPr>
          <w:i/>
          <w:sz w:val="24"/>
          <w:szCs w:val="24"/>
        </w:rPr>
        <w:t>2 613</w:t>
      </w:r>
      <w:r w:rsidR="008F11FB" w:rsidRPr="00BD4871">
        <w:rPr>
          <w:i/>
          <w:sz w:val="24"/>
          <w:szCs w:val="24"/>
        </w:rPr>
        <w:t xml:space="preserve"> zdrojů, což je </w:t>
      </w:r>
      <w:r w:rsidR="005821FA" w:rsidRPr="00BD4871">
        <w:rPr>
          <w:i/>
          <w:sz w:val="24"/>
          <w:szCs w:val="24"/>
        </w:rPr>
        <w:t>8,4</w:t>
      </w:r>
      <w:r w:rsidR="008F11FB" w:rsidRPr="00BD4871">
        <w:rPr>
          <w:i/>
          <w:sz w:val="24"/>
          <w:szCs w:val="24"/>
        </w:rPr>
        <w:t xml:space="preserve"> % z celkového počtu všech zdrojů OZE </w:t>
      </w:r>
      <w:r w:rsidR="00A109B8" w:rsidRPr="00BD4871">
        <w:rPr>
          <w:i/>
          <w:sz w:val="24"/>
          <w:szCs w:val="24"/>
        </w:rPr>
        <w:t xml:space="preserve">čerpající </w:t>
      </w:r>
      <w:r w:rsidR="008F11FB" w:rsidRPr="00BD4871">
        <w:rPr>
          <w:i/>
          <w:sz w:val="24"/>
          <w:szCs w:val="24"/>
        </w:rPr>
        <w:t>podporu a v linii individuální kontroly z</w:t>
      </w:r>
      <w:r w:rsidR="008F11FB" w:rsidRPr="00C77DA0">
        <w:rPr>
          <w:i/>
          <w:sz w:val="24"/>
          <w:szCs w:val="24"/>
        </w:rPr>
        <w:t xml:space="preserve">drojů by mělo být zařazeno </w:t>
      </w:r>
      <w:r w:rsidR="00896D96" w:rsidRPr="00C77DA0">
        <w:rPr>
          <w:i/>
          <w:sz w:val="24"/>
          <w:szCs w:val="24"/>
        </w:rPr>
        <w:t xml:space="preserve">pouze </w:t>
      </w:r>
      <w:r w:rsidR="005821FA" w:rsidRPr="00C77DA0">
        <w:rPr>
          <w:i/>
          <w:sz w:val="24"/>
          <w:szCs w:val="24"/>
        </w:rPr>
        <w:t>726</w:t>
      </w:r>
      <w:r w:rsidR="008F11FB" w:rsidRPr="00C77DA0">
        <w:rPr>
          <w:i/>
          <w:sz w:val="24"/>
          <w:szCs w:val="24"/>
        </w:rPr>
        <w:t xml:space="preserve"> zdrojů, což je </w:t>
      </w:r>
      <w:r w:rsidR="00896D96" w:rsidRPr="00C77DA0">
        <w:rPr>
          <w:i/>
          <w:sz w:val="24"/>
          <w:szCs w:val="24"/>
        </w:rPr>
        <w:t xml:space="preserve">pouze </w:t>
      </w:r>
      <w:r w:rsidR="005821FA" w:rsidRPr="00C77DA0">
        <w:rPr>
          <w:i/>
          <w:sz w:val="24"/>
          <w:szCs w:val="24"/>
        </w:rPr>
        <w:t>2,3</w:t>
      </w:r>
      <w:r w:rsidR="008F11FB" w:rsidRPr="00C77DA0">
        <w:rPr>
          <w:i/>
          <w:sz w:val="24"/>
          <w:szCs w:val="24"/>
        </w:rPr>
        <w:t xml:space="preserve"> % z celkového počtu všech zdrojů </w:t>
      </w:r>
      <w:r w:rsidR="00A109B8" w:rsidRPr="00C77DA0">
        <w:rPr>
          <w:i/>
          <w:sz w:val="24"/>
          <w:szCs w:val="24"/>
        </w:rPr>
        <w:t xml:space="preserve">čerpající </w:t>
      </w:r>
      <w:r w:rsidR="008F11FB" w:rsidRPr="00C77DA0">
        <w:rPr>
          <w:i/>
          <w:sz w:val="24"/>
          <w:szCs w:val="24"/>
        </w:rPr>
        <w:t>podporu.</w:t>
      </w:r>
    </w:p>
    <w:p w14:paraId="6A2AB9FA" w14:textId="77777777" w:rsidR="008F11FB" w:rsidRDefault="008F11FB" w:rsidP="004713EF">
      <w:pPr>
        <w:pStyle w:val="Odstavecseseznamem"/>
        <w:tabs>
          <w:tab w:val="left" w:pos="426"/>
        </w:tabs>
        <w:overflowPunct/>
        <w:autoSpaceDE/>
        <w:autoSpaceDN/>
        <w:adjustRightInd/>
        <w:spacing w:before="100" w:beforeAutospacing="1" w:after="100" w:afterAutospacing="1" w:line="276" w:lineRule="auto"/>
        <w:ind w:left="0"/>
        <w:jc w:val="both"/>
        <w:textAlignment w:val="auto"/>
        <w:rPr>
          <w:i/>
          <w:sz w:val="24"/>
          <w:szCs w:val="24"/>
        </w:rPr>
      </w:pPr>
    </w:p>
    <w:p w14:paraId="3838DDA5" w14:textId="5C8C943A" w:rsidR="00C77DA0" w:rsidRPr="00C77DA0" w:rsidRDefault="00C77DA0" w:rsidP="00C214CA">
      <w:pPr>
        <w:pStyle w:val="Odstavecseseznamem"/>
        <w:numPr>
          <w:ilvl w:val="0"/>
          <w:numId w:val="35"/>
        </w:numPr>
        <w:tabs>
          <w:tab w:val="left" w:pos="426"/>
        </w:tabs>
        <w:overflowPunct/>
        <w:autoSpaceDE/>
        <w:autoSpaceDN/>
        <w:adjustRightInd/>
        <w:spacing w:before="100" w:beforeAutospacing="1" w:after="100" w:afterAutospacing="1" w:line="276" w:lineRule="auto"/>
        <w:jc w:val="both"/>
        <w:textAlignment w:val="auto"/>
        <w:rPr>
          <w:b/>
          <w:i/>
          <w:sz w:val="24"/>
          <w:szCs w:val="24"/>
        </w:rPr>
      </w:pPr>
      <w:r w:rsidRPr="00C77DA0">
        <w:rPr>
          <w:b/>
          <w:i/>
          <w:sz w:val="24"/>
          <w:szCs w:val="24"/>
        </w:rPr>
        <w:t>Role jednotlivých resortů</w:t>
      </w:r>
      <w:r w:rsidR="00593AAF">
        <w:rPr>
          <w:b/>
          <w:i/>
          <w:sz w:val="24"/>
          <w:szCs w:val="24"/>
        </w:rPr>
        <w:t xml:space="preserve"> </w:t>
      </w:r>
      <w:r w:rsidRPr="00C77DA0">
        <w:rPr>
          <w:b/>
          <w:i/>
          <w:sz w:val="24"/>
          <w:szCs w:val="24"/>
        </w:rPr>
        <w:t>(subjektů</w:t>
      </w:r>
      <w:r w:rsidR="00593AAF">
        <w:rPr>
          <w:b/>
          <w:i/>
          <w:sz w:val="24"/>
          <w:szCs w:val="24"/>
        </w:rPr>
        <w:t>)</w:t>
      </w:r>
      <w:r w:rsidRPr="00C77DA0">
        <w:rPr>
          <w:b/>
          <w:i/>
          <w:sz w:val="24"/>
          <w:szCs w:val="24"/>
        </w:rPr>
        <w:t xml:space="preserve"> při provádění mech</w:t>
      </w:r>
      <w:r w:rsidR="00593AAF">
        <w:rPr>
          <w:b/>
          <w:i/>
          <w:sz w:val="24"/>
          <w:szCs w:val="24"/>
        </w:rPr>
        <w:t>a</w:t>
      </w:r>
      <w:r w:rsidRPr="00C77DA0">
        <w:rPr>
          <w:b/>
          <w:i/>
          <w:sz w:val="24"/>
          <w:szCs w:val="24"/>
        </w:rPr>
        <w:t>nismu</w:t>
      </w:r>
      <w:r w:rsidR="00593AAF">
        <w:rPr>
          <w:b/>
          <w:i/>
          <w:sz w:val="24"/>
          <w:szCs w:val="24"/>
        </w:rPr>
        <w:t xml:space="preserve"> kontroly přiměřenosti podpory</w:t>
      </w:r>
    </w:p>
    <w:p w14:paraId="789BE339" w14:textId="77777777" w:rsidR="00C77DA0" w:rsidRPr="00C77DA0" w:rsidRDefault="00C77DA0" w:rsidP="004713EF">
      <w:pPr>
        <w:pStyle w:val="Odstavecseseznamem"/>
        <w:tabs>
          <w:tab w:val="left" w:pos="426"/>
        </w:tabs>
        <w:overflowPunct/>
        <w:autoSpaceDE/>
        <w:autoSpaceDN/>
        <w:adjustRightInd/>
        <w:spacing w:before="100" w:beforeAutospacing="1" w:after="100" w:afterAutospacing="1" w:line="276" w:lineRule="auto"/>
        <w:ind w:left="0"/>
        <w:jc w:val="both"/>
        <w:textAlignment w:val="auto"/>
        <w:rPr>
          <w:i/>
          <w:sz w:val="24"/>
          <w:szCs w:val="24"/>
        </w:rPr>
      </w:pPr>
    </w:p>
    <w:p w14:paraId="3FDD9925" w14:textId="056223F7" w:rsidR="00C77DA0" w:rsidRPr="00C77DA0" w:rsidRDefault="008F11FB" w:rsidP="004713EF">
      <w:pPr>
        <w:pStyle w:val="Odstavecseseznamem"/>
        <w:tabs>
          <w:tab w:val="left" w:pos="426"/>
        </w:tabs>
        <w:overflowPunct/>
        <w:autoSpaceDE/>
        <w:autoSpaceDN/>
        <w:adjustRightInd/>
        <w:spacing w:before="100" w:beforeAutospacing="1" w:after="100" w:afterAutospacing="1" w:line="276" w:lineRule="auto"/>
        <w:ind w:left="0"/>
        <w:jc w:val="both"/>
        <w:textAlignment w:val="auto"/>
        <w:rPr>
          <w:i/>
          <w:sz w:val="24"/>
          <w:szCs w:val="24"/>
        </w:rPr>
      </w:pPr>
      <w:r w:rsidRPr="00C77DA0">
        <w:rPr>
          <w:i/>
          <w:sz w:val="24"/>
          <w:szCs w:val="24"/>
        </w:rPr>
        <w:t>Naplňování závazku</w:t>
      </w:r>
      <w:r w:rsidR="00896D96" w:rsidRPr="00C77DA0">
        <w:rPr>
          <w:i/>
          <w:sz w:val="24"/>
          <w:szCs w:val="24"/>
        </w:rPr>
        <w:t xml:space="preserve"> na</w:t>
      </w:r>
      <w:r w:rsidRPr="00C77DA0">
        <w:rPr>
          <w:i/>
          <w:sz w:val="24"/>
          <w:szCs w:val="24"/>
        </w:rPr>
        <w:t xml:space="preserve">  mechanismu </w:t>
      </w:r>
      <w:r w:rsidR="00593AAF">
        <w:rPr>
          <w:i/>
          <w:sz w:val="24"/>
          <w:szCs w:val="24"/>
        </w:rPr>
        <w:t xml:space="preserve">kontroly přiměřenosti </w:t>
      </w:r>
      <w:r w:rsidR="00896D96" w:rsidRPr="00C77DA0">
        <w:rPr>
          <w:i/>
          <w:sz w:val="24"/>
          <w:szCs w:val="24"/>
        </w:rPr>
        <w:t xml:space="preserve"> podpory </w:t>
      </w:r>
      <w:r w:rsidRPr="00C77DA0">
        <w:rPr>
          <w:i/>
          <w:sz w:val="24"/>
          <w:szCs w:val="24"/>
        </w:rPr>
        <w:t xml:space="preserve">bude </w:t>
      </w:r>
      <w:r w:rsidR="00C06F8A" w:rsidRPr="00C77DA0">
        <w:rPr>
          <w:i/>
          <w:sz w:val="24"/>
          <w:szCs w:val="24"/>
        </w:rPr>
        <w:t xml:space="preserve">provedeno </w:t>
      </w:r>
      <w:r w:rsidR="00C214CA">
        <w:rPr>
          <w:i/>
          <w:sz w:val="24"/>
          <w:szCs w:val="24"/>
        </w:rPr>
        <w:t xml:space="preserve">kromě samotných výrobců  </w:t>
      </w:r>
      <w:r w:rsidR="00CA4DCE">
        <w:rPr>
          <w:i/>
          <w:sz w:val="24"/>
          <w:szCs w:val="24"/>
        </w:rPr>
        <w:t xml:space="preserve">elektřiny z OZE </w:t>
      </w:r>
      <w:r w:rsidR="00C214CA">
        <w:rPr>
          <w:i/>
          <w:sz w:val="24"/>
          <w:szCs w:val="24"/>
        </w:rPr>
        <w:t xml:space="preserve">na úrovni státní správy </w:t>
      </w:r>
      <w:r w:rsidRPr="00C77DA0">
        <w:rPr>
          <w:i/>
          <w:sz w:val="24"/>
          <w:szCs w:val="24"/>
        </w:rPr>
        <w:t xml:space="preserve"> prostřednictvím 3 subjektů</w:t>
      </w:r>
      <w:r w:rsidR="00C214CA">
        <w:rPr>
          <w:i/>
          <w:sz w:val="24"/>
          <w:szCs w:val="24"/>
        </w:rPr>
        <w:t>, kterými jsou</w:t>
      </w:r>
      <w:r w:rsidRPr="00C77DA0">
        <w:rPr>
          <w:i/>
          <w:sz w:val="24"/>
          <w:szCs w:val="24"/>
        </w:rPr>
        <w:t xml:space="preserve"> Ministerstvo průmyslu a obchodu, Energetický regulační úřad a </w:t>
      </w:r>
      <w:r w:rsidR="00C06F8A" w:rsidRPr="00C77DA0">
        <w:rPr>
          <w:i/>
          <w:sz w:val="24"/>
          <w:szCs w:val="24"/>
        </w:rPr>
        <w:t xml:space="preserve">operátor trhu. </w:t>
      </w:r>
    </w:p>
    <w:p w14:paraId="10633D17" w14:textId="77777777" w:rsidR="00C77DA0" w:rsidRDefault="00C77DA0" w:rsidP="004713EF">
      <w:pPr>
        <w:pStyle w:val="Odstavecseseznamem"/>
        <w:tabs>
          <w:tab w:val="left" w:pos="426"/>
        </w:tabs>
        <w:overflowPunct/>
        <w:autoSpaceDE/>
        <w:autoSpaceDN/>
        <w:adjustRightInd/>
        <w:spacing w:before="100" w:beforeAutospacing="1" w:after="100" w:afterAutospacing="1" w:line="276" w:lineRule="auto"/>
        <w:ind w:left="0"/>
        <w:jc w:val="both"/>
        <w:textAlignment w:val="auto"/>
        <w:rPr>
          <w:b/>
          <w:i/>
          <w:sz w:val="24"/>
          <w:szCs w:val="24"/>
        </w:rPr>
      </w:pPr>
    </w:p>
    <w:p w14:paraId="4A2B684E" w14:textId="7B1F1932" w:rsidR="00C77DA0" w:rsidRPr="00C77DA0" w:rsidRDefault="00C77DA0" w:rsidP="00C214CA">
      <w:pPr>
        <w:pStyle w:val="Odstavecseseznamem"/>
        <w:numPr>
          <w:ilvl w:val="0"/>
          <w:numId w:val="36"/>
        </w:numPr>
        <w:tabs>
          <w:tab w:val="left" w:pos="426"/>
        </w:tabs>
        <w:overflowPunct/>
        <w:autoSpaceDE/>
        <w:autoSpaceDN/>
        <w:adjustRightInd/>
        <w:spacing w:before="100" w:beforeAutospacing="1" w:after="100" w:afterAutospacing="1" w:line="276" w:lineRule="auto"/>
        <w:ind w:hanging="1770"/>
        <w:jc w:val="both"/>
        <w:textAlignment w:val="auto"/>
        <w:rPr>
          <w:i/>
          <w:sz w:val="24"/>
          <w:szCs w:val="24"/>
          <w:u w:val="single"/>
        </w:rPr>
      </w:pPr>
      <w:r w:rsidRPr="00C77DA0">
        <w:rPr>
          <w:i/>
          <w:sz w:val="24"/>
          <w:szCs w:val="24"/>
          <w:u w:val="single"/>
        </w:rPr>
        <w:t>operátor trhu</w:t>
      </w:r>
      <w:bookmarkStart w:id="2" w:name="_GoBack"/>
      <w:bookmarkEnd w:id="2"/>
    </w:p>
    <w:p w14:paraId="1538823A" w14:textId="77777777" w:rsidR="00C77DA0" w:rsidRDefault="00C77DA0" w:rsidP="00C77DA0">
      <w:pPr>
        <w:pStyle w:val="Odstavecseseznamem"/>
        <w:tabs>
          <w:tab w:val="left" w:pos="426"/>
        </w:tabs>
        <w:overflowPunct/>
        <w:autoSpaceDE/>
        <w:autoSpaceDN/>
        <w:adjustRightInd/>
        <w:spacing w:before="100" w:beforeAutospacing="1" w:after="100" w:afterAutospacing="1" w:line="276" w:lineRule="auto"/>
        <w:jc w:val="both"/>
        <w:textAlignment w:val="auto"/>
        <w:rPr>
          <w:b/>
          <w:i/>
          <w:sz w:val="24"/>
          <w:szCs w:val="24"/>
        </w:rPr>
      </w:pPr>
    </w:p>
    <w:p w14:paraId="45105AE3" w14:textId="6CCE65E1" w:rsidR="00992DC5" w:rsidRDefault="00992DC5" w:rsidP="004713EF">
      <w:pPr>
        <w:pStyle w:val="Odstavecseseznamem"/>
        <w:tabs>
          <w:tab w:val="left" w:pos="426"/>
        </w:tabs>
        <w:overflowPunct/>
        <w:autoSpaceDE/>
        <w:autoSpaceDN/>
        <w:adjustRightInd/>
        <w:spacing w:before="100" w:beforeAutospacing="1" w:after="100" w:afterAutospacing="1" w:line="276" w:lineRule="auto"/>
        <w:ind w:left="0"/>
        <w:jc w:val="both"/>
        <w:textAlignment w:val="auto"/>
        <w:rPr>
          <w:i/>
          <w:sz w:val="24"/>
          <w:szCs w:val="24"/>
        </w:rPr>
      </w:pPr>
      <w:r>
        <w:rPr>
          <w:i/>
          <w:sz w:val="24"/>
          <w:szCs w:val="24"/>
        </w:rPr>
        <w:t>Při</w:t>
      </w:r>
      <w:r w:rsidR="008A7B66" w:rsidRPr="00C77DA0">
        <w:rPr>
          <w:i/>
          <w:sz w:val="24"/>
          <w:szCs w:val="24"/>
        </w:rPr>
        <w:t xml:space="preserve"> provádění mech</w:t>
      </w:r>
      <w:r w:rsidR="009417FA" w:rsidRPr="00C77DA0">
        <w:rPr>
          <w:i/>
          <w:sz w:val="24"/>
          <w:szCs w:val="24"/>
        </w:rPr>
        <w:t>a</w:t>
      </w:r>
      <w:r w:rsidR="008A7B66" w:rsidRPr="00C77DA0">
        <w:rPr>
          <w:i/>
          <w:sz w:val="24"/>
          <w:szCs w:val="24"/>
        </w:rPr>
        <w:t xml:space="preserve">nismu </w:t>
      </w:r>
      <w:r w:rsidR="00593AAF">
        <w:rPr>
          <w:i/>
          <w:sz w:val="24"/>
          <w:szCs w:val="24"/>
        </w:rPr>
        <w:t xml:space="preserve">kontroly přiměřenosti </w:t>
      </w:r>
      <w:r w:rsidR="00896D96" w:rsidRPr="00C77DA0">
        <w:rPr>
          <w:i/>
          <w:sz w:val="24"/>
          <w:szCs w:val="24"/>
        </w:rPr>
        <w:t xml:space="preserve">podpory </w:t>
      </w:r>
      <w:r w:rsidR="005C1FB3">
        <w:rPr>
          <w:i/>
          <w:sz w:val="24"/>
          <w:szCs w:val="24"/>
        </w:rPr>
        <w:t xml:space="preserve">se </w:t>
      </w:r>
      <w:r>
        <w:rPr>
          <w:i/>
          <w:sz w:val="24"/>
          <w:szCs w:val="24"/>
        </w:rPr>
        <w:t>navrhuje</w:t>
      </w:r>
      <w:r w:rsidR="008A7B66" w:rsidRPr="00C77DA0">
        <w:rPr>
          <w:i/>
          <w:sz w:val="24"/>
          <w:szCs w:val="24"/>
        </w:rPr>
        <w:t xml:space="preserve">, aby hlavní podíl naplňování </w:t>
      </w:r>
      <w:r w:rsidR="00896D96" w:rsidRPr="00C77DA0">
        <w:rPr>
          <w:i/>
          <w:sz w:val="24"/>
          <w:szCs w:val="24"/>
        </w:rPr>
        <w:t xml:space="preserve">tohoto </w:t>
      </w:r>
      <w:r w:rsidR="008A7B66" w:rsidRPr="00C77DA0">
        <w:rPr>
          <w:i/>
          <w:sz w:val="24"/>
          <w:szCs w:val="24"/>
        </w:rPr>
        <w:t xml:space="preserve">závazku byl uskutečněn prostřednictvím operátora trhu. </w:t>
      </w:r>
    </w:p>
    <w:p w14:paraId="6286F011" w14:textId="77777777" w:rsidR="00992DC5" w:rsidRDefault="00992DC5" w:rsidP="004713EF">
      <w:pPr>
        <w:pStyle w:val="Odstavecseseznamem"/>
        <w:tabs>
          <w:tab w:val="left" w:pos="426"/>
        </w:tabs>
        <w:overflowPunct/>
        <w:autoSpaceDE/>
        <w:autoSpaceDN/>
        <w:adjustRightInd/>
        <w:spacing w:before="100" w:beforeAutospacing="1" w:after="100" w:afterAutospacing="1" w:line="276" w:lineRule="auto"/>
        <w:ind w:left="0"/>
        <w:jc w:val="both"/>
        <w:textAlignment w:val="auto"/>
        <w:rPr>
          <w:i/>
          <w:sz w:val="24"/>
          <w:szCs w:val="24"/>
        </w:rPr>
      </w:pPr>
    </w:p>
    <w:p w14:paraId="042DAB21" w14:textId="452768B7" w:rsidR="008F11FB" w:rsidRPr="00C77DA0" w:rsidRDefault="005C1FB3" w:rsidP="004713EF">
      <w:pPr>
        <w:pStyle w:val="Odstavecseseznamem"/>
        <w:tabs>
          <w:tab w:val="left" w:pos="426"/>
        </w:tabs>
        <w:overflowPunct/>
        <w:autoSpaceDE/>
        <w:autoSpaceDN/>
        <w:adjustRightInd/>
        <w:spacing w:before="100" w:beforeAutospacing="1" w:after="100" w:afterAutospacing="1" w:line="276" w:lineRule="auto"/>
        <w:ind w:left="0"/>
        <w:jc w:val="both"/>
        <w:textAlignment w:val="auto"/>
        <w:rPr>
          <w:i/>
          <w:sz w:val="24"/>
          <w:szCs w:val="24"/>
        </w:rPr>
      </w:pPr>
      <w:r>
        <w:rPr>
          <w:i/>
          <w:sz w:val="24"/>
          <w:szCs w:val="24"/>
        </w:rPr>
        <w:t>Operátor trhu</w:t>
      </w:r>
      <w:r w:rsidR="008A7B66" w:rsidRPr="00C77DA0">
        <w:rPr>
          <w:i/>
          <w:sz w:val="24"/>
          <w:szCs w:val="24"/>
        </w:rPr>
        <w:t xml:space="preserve"> již v současné době disponuje informacemi o všech registrovaných výrobcích elektřiny z OZE a těmto výrobcům vyplácí podporu</w:t>
      </w:r>
      <w:r>
        <w:rPr>
          <w:i/>
          <w:sz w:val="24"/>
          <w:szCs w:val="24"/>
        </w:rPr>
        <w:t xml:space="preserve"> a to bud přímo v případě zeleného bonusu nebo prostřednictvím tzv. povinně vykupujícího, kterému vyplácí rozdíl mezi výkupní cenou a tržní cenou elektřiny</w:t>
      </w:r>
      <w:r w:rsidR="008A7B66" w:rsidRPr="00C77DA0">
        <w:rPr>
          <w:i/>
          <w:sz w:val="24"/>
          <w:szCs w:val="24"/>
        </w:rPr>
        <w:t xml:space="preserve">. </w:t>
      </w:r>
      <w:r w:rsidR="00992DC5">
        <w:rPr>
          <w:i/>
          <w:sz w:val="24"/>
          <w:szCs w:val="24"/>
        </w:rPr>
        <w:t xml:space="preserve">Tento subjekt tedy má </w:t>
      </w:r>
      <w:r w:rsidR="008A7B66" w:rsidRPr="00C77DA0">
        <w:rPr>
          <w:i/>
          <w:sz w:val="24"/>
          <w:szCs w:val="24"/>
        </w:rPr>
        <w:t>detailní přehled o všech vyplacených podporách danému zdroji i souhr</w:t>
      </w:r>
      <w:r w:rsidR="009417FA" w:rsidRPr="00C77DA0">
        <w:rPr>
          <w:i/>
          <w:sz w:val="24"/>
          <w:szCs w:val="24"/>
        </w:rPr>
        <w:t>n</w:t>
      </w:r>
      <w:r w:rsidR="008A7B66" w:rsidRPr="00C77DA0">
        <w:rPr>
          <w:i/>
          <w:sz w:val="24"/>
          <w:szCs w:val="24"/>
        </w:rPr>
        <w:t xml:space="preserve">ně po jednotlivých výrobcích elektřiny </w:t>
      </w:r>
      <w:r w:rsidR="00CA4DCE">
        <w:rPr>
          <w:i/>
          <w:sz w:val="24"/>
          <w:szCs w:val="24"/>
        </w:rPr>
        <w:t xml:space="preserve">z OZE </w:t>
      </w:r>
      <w:r w:rsidR="008A7B66" w:rsidRPr="00C77DA0">
        <w:rPr>
          <w:i/>
          <w:sz w:val="24"/>
          <w:szCs w:val="24"/>
        </w:rPr>
        <w:t>včetně informací o čerpané investiční podpoře</w:t>
      </w:r>
      <w:r w:rsidR="00992DC5">
        <w:rPr>
          <w:i/>
          <w:sz w:val="24"/>
          <w:szCs w:val="24"/>
        </w:rPr>
        <w:t xml:space="preserve"> u daného zdroje zadávané </w:t>
      </w:r>
      <w:r w:rsidR="008A7B66" w:rsidRPr="00C77DA0">
        <w:rPr>
          <w:i/>
          <w:sz w:val="24"/>
          <w:szCs w:val="24"/>
        </w:rPr>
        <w:t xml:space="preserve">výrobci elektřiny </w:t>
      </w:r>
      <w:r w:rsidR="00CA4DCE">
        <w:rPr>
          <w:i/>
          <w:sz w:val="24"/>
          <w:szCs w:val="24"/>
        </w:rPr>
        <w:t xml:space="preserve">z OZE </w:t>
      </w:r>
      <w:r w:rsidR="008A7B66" w:rsidRPr="00C77DA0">
        <w:rPr>
          <w:i/>
          <w:sz w:val="24"/>
          <w:szCs w:val="24"/>
        </w:rPr>
        <w:t>do systému operátora trhu v souvislosti s povinnostmi vyplývajícími ze zákona č. 165/2012 Sb</w:t>
      </w:r>
      <w:r w:rsidR="00992DC5">
        <w:rPr>
          <w:i/>
          <w:sz w:val="24"/>
          <w:szCs w:val="24"/>
        </w:rPr>
        <w:t>.,</w:t>
      </w:r>
      <w:r w:rsidR="00992DC5" w:rsidRPr="00992DC5">
        <w:rPr>
          <w:i/>
          <w:sz w:val="24"/>
          <w:szCs w:val="24"/>
        </w:rPr>
        <w:t xml:space="preserve"> </w:t>
      </w:r>
      <w:r w:rsidR="00992DC5" w:rsidRPr="00C77DA0">
        <w:rPr>
          <w:i/>
          <w:sz w:val="24"/>
          <w:szCs w:val="24"/>
        </w:rPr>
        <w:t>o podporovaných zdrojích energie a o změně některých zákonů</w:t>
      </w:r>
      <w:r w:rsidR="00992DC5">
        <w:rPr>
          <w:i/>
          <w:sz w:val="24"/>
          <w:szCs w:val="24"/>
        </w:rPr>
        <w:t xml:space="preserve"> (zákon č. 165/2012 Sb.)</w:t>
      </w:r>
      <w:r w:rsidR="008F11FB" w:rsidRPr="00C77DA0">
        <w:rPr>
          <w:i/>
          <w:sz w:val="24"/>
          <w:szCs w:val="24"/>
        </w:rPr>
        <w:t>.</w:t>
      </w:r>
    </w:p>
    <w:p w14:paraId="2295E11D" w14:textId="5F459673" w:rsidR="008F11FB" w:rsidRPr="00C77DA0" w:rsidRDefault="005C1FB3" w:rsidP="004713EF">
      <w:pPr>
        <w:tabs>
          <w:tab w:val="left" w:pos="426"/>
        </w:tabs>
        <w:overflowPunct/>
        <w:autoSpaceDE/>
        <w:autoSpaceDN/>
        <w:adjustRightInd/>
        <w:spacing w:before="100" w:beforeAutospacing="1" w:after="100" w:afterAutospacing="1" w:line="276" w:lineRule="auto"/>
        <w:jc w:val="both"/>
        <w:textAlignment w:val="auto"/>
        <w:rPr>
          <w:i/>
          <w:sz w:val="24"/>
          <w:szCs w:val="24"/>
        </w:rPr>
      </w:pPr>
      <w:r>
        <w:rPr>
          <w:i/>
          <w:sz w:val="24"/>
          <w:szCs w:val="24"/>
        </w:rPr>
        <w:lastRenderedPageBreak/>
        <w:t xml:space="preserve">Pro provedení mechanismu </w:t>
      </w:r>
      <w:r w:rsidR="00593AAF">
        <w:rPr>
          <w:i/>
          <w:sz w:val="24"/>
          <w:szCs w:val="24"/>
        </w:rPr>
        <w:t xml:space="preserve">kontroly přiměřenosti podpory </w:t>
      </w:r>
      <w:r>
        <w:rPr>
          <w:i/>
          <w:sz w:val="24"/>
          <w:szCs w:val="24"/>
        </w:rPr>
        <w:t>se n</w:t>
      </w:r>
      <w:r w:rsidR="00992DC5">
        <w:rPr>
          <w:i/>
          <w:sz w:val="24"/>
          <w:szCs w:val="24"/>
        </w:rPr>
        <w:t>av</w:t>
      </w:r>
      <w:r w:rsidR="00B355E6">
        <w:rPr>
          <w:i/>
          <w:sz w:val="24"/>
          <w:szCs w:val="24"/>
        </w:rPr>
        <w:t>r</w:t>
      </w:r>
      <w:r w:rsidR="00992DC5">
        <w:rPr>
          <w:i/>
          <w:sz w:val="24"/>
          <w:szCs w:val="24"/>
        </w:rPr>
        <w:t xml:space="preserve">huje jako vhodné posílit </w:t>
      </w:r>
      <w:r w:rsidR="008F11FB" w:rsidRPr="00C77DA0">
        <w:rPr>
          <w:i/>
          <w:sz w:val="24"/>
          <w:szCs w:val="24"/>
        </w:rPr>
        <w:t xml:space="preserve">působnost a práva operátora trhu </w:t>
      </w:r>
      <w:r w:rsidR="00C06F8A" w:rsidRPr="00C77DA0">
        <w:rPr>
          <w:i/>
          <w:sz w:val="24"/>
          <w:szCs w:val="24"/>
        </w:rPr>
        <w:t>a povinnosti výrobců energie z</w:t>
      </w:r>
      <w:r w:rsidR="00992DC5">
        <w:rPr>
          <w:i/>
          <w:sz w:val="24"/>
          <w:szCs w:val="24"/>
        </w:rPr>
        <w:t> </w:t>
      </w:r>
      <w:r w:rsidR="00C06F8A" w:rsidRPr="00C77DA0">
        <w:rPr>
          <w:i/>
          <w:sz w:val="24"/>
          <w:szCs w:val="24"/>
        </w:rPr>
        <w:t>OZE</w:t>
      </w:r>
      <w:r w:rsidR="00992DC5">
        <w:rPr>
          <w:i/>
          <w:sz w:val="24"/>
          <w:szCs w:val="24"/>
        </w:rPr>
        <w:t>,</w:t>
      </w:r>
      <w:r w:rsidR="00C06F8A" w:rsidRPr="00C77DA0">
        <w:rPr>
          <w:i/>
          <w:sz w:val="24"/>
          <w:szCs w:val="24"/>
        </w:rPr>
        <w:t xml:space="preserve"> </w:t>
      </w:r>
      <w:r w:rsidR="008F11FB" w:rsidRPr="00C77DA0">
        <w:rPr>
          <w:i/>
          <w:sz w:val="24"/>
          <w:szCs w:val="24"/>
        </w:rPr>
        <w:t xml:space="preserve">a to jak v zákoně č. 458/2000 Sb., </w:t>
      </w:r>
      <w:r w:rsidR="00C06F8A" w:rsidRPr="00C77DA0">
        <w:rPr>
          <w:i/>
          <w:sz w:val="24"/>
          <w:szCs w:val="24"/>
        </w:rPr>
        <w:t xml:space="preserve">o podmínkách podnikání a o výkonu státní správy v energetických odvětvích a o změně některých zákonů (energetický zákon), </w:t>
      </w:r>
      <w:r w:rsidR="008F11FB" w:rsidRPr="00C77DA0">
        <w:rPr>
          <w:i/>
          <w:sz w:val="24"/>
          <w:szCs w:val="24"/>
        </w:rPr>
        <w:t>tak v zákoně č. 165/2012 Sb.</w:t>
      </w:r>
      <w:r w:rsidR="00C06F8A" w:rsidRPr="00C77DA0">
        <w:rPr>
          <w:i/>
          <w:sz w:val="24"/>
          <w:szCs w:val="24"/>
        </w:rPr>
        <w:t xml:space="preserve">. </w:t>
      </w:r>
      <w:r>
        <w:rPr>
          <w:i/>
          <w:sz w:val="24"/>
          <w:szCs w:val="24"/>
        </w:rPr>
        <w:t xml:space="preserve">Mělo by </w:t>
      </w:r>
      <w:r w:rsidR="00C06F8A" w:rsidRPr="00C77DA0">
        <w:rPr>
          <w:i/>
          <w:sz w:val="24"/>
          <w:szCs w:val="24"/>
        </w:rPr>
        <w:t xml:space="preserve"> se jednat </w:t>
      </w:r>
      <w:r w:rsidR="008D6E73" w:rsidRPr="00C77DA0">
        <w:rPr>
          <w:i/>
          <w:sz w:val="24"/>
          <w:szCs w:val="24"/>
        </w:rPr>
        <w:t xml:space="preserve">především o povinnosti </w:t>
      </w:r>
      <w:r w:rsidR="008F11FB" w:rsidRPr="00C77DA0">
        <w:rPr>
          <w:i/>
          <w:sz w:val="24"/>
          <w:szCs w:val="24"/>
        </w:rPr>
        <w:t>výrobc</w:t>
      </w:r>
      <w:r w:rsidR="008D6E73" w:rsidRPr="00C77DA0">
        <w:rPr>
          <w:i/>
          <w:sz w:val="24"/>
          <w:szCs w:val="24"/>
        </w:rPr>
        <w:t>ů</w:t>
      </w:r>
      <w:r w:rsidR="008F11FB" w:rsidRPr="00C77DA0">
        <w:rPr>
          <w:i/>
          <w:sz w:val="24"/>
          <w:szCs w:val="24"/>
        </w:rPr>
        <w:t xml:space="preserve"> elektřiny z OZE, </w:t>
      </w:r>
      <w:r w:rsidR="00896D96" w:rsidRPr="00C77DA0">
        <w:rPr>
          <w:i/>
          <w:sz w:val="24"/>
          <w:szCs w:val="24"/>
        </w:rPr>
        <w:t xml:space="preserve">které se </w:t>
      </w:r>
      <w:r w:rsidR="008F11FB" w:rsidRPr="00C77DA0">
        <w:rPr>
          <w:i/>
          <w:sz w:val="24"/>
          <w:szCs w:val="24"/>
        </w:rPr>
        <w:t xml:space="preserve">budou </w:t>
      </w:r>
      <w:r w:rsidR="00896D96" w:rsidRPr="00C77DA0">
        <w:rPr>
          <w:i/>
          <w:sz w:val="24"/>
          <w:szCs w:val="24"/>
        </w:rPr>
        <w:t>týkat</w:t>
      </w:r>
      <w:r w:rsidR="00593AAF">
        <w:rPr>
          <w:i/>
          <w:sz w:val="24"/>
          <w:szCs w:val="24"/>
        </w:rPr>
        <w:t xml:space="preserve"> </w:t>
      </w:r>
      <w:r w:rsidR="00CA4DCE">
        <w:rPr>
          <w:i/>
          <w:sz w:val="24"/>
          <w:szCs w:val="24"/>
        </w:rPr>
        <w:t xml:space="preserve">elektronického </w:t>
      </w:r>
      <w:r w:rsidR="008D6E73" w:rsidRPr="00C77DA0">
        <w:rPr>
          <w:i/>
          <w:sz w:val="24"/>
          <w:szCs w:val="24"/>
        </w:rPr>
        <w:t xml:space="preserve"> předávání informací k provedení </w:t>
      </w:r>
      <w:r w:rsidR="00896D96" w:rsidRPr="00C77DA0">
        <w:rPr>
          <w:i/>
          <w:sz w:val="24"/>
          <w:szCs w:val="24"/>
        </w:rPr>
        <w:t xml:space="preserve">mechanismu </w:t>
      </w:r>
      <w:r w:rsidR="00593AAF">
        <w:rPr>
          <w:i/>
          <w:sz w:val="24"/>
          <w:szCs w:val="24"/>
        </w:rPr>
        <w:t xml:space="preserve">kontroly přiměřenosti podpory </w:t>
      </w:r>
      <w:r w:rsidR="008D6E73" w:rsidRPr="00C77DA0">
        <w:rPr>
          <w:i/>
          <w:sz w:val="24"/>
          <w:szCs w:val="24"/>
        </w:rPr>
        <w:t xml:space="preserve">prostřednictvím výkazů </w:t>
      </w:r>
      <w:r w:rsidR="00896D96" w:rsidRPr="00C77DA0">
        <w:rPr>
          <w:i/>
          <w:sz w:val="24"/>
          <w:szCs w:val="24"/>
        </w:rPr>
        <w:t xml:space="preserve">předávaných od jednotlivých výrobců elektřiny </w:t>
      </w:r>
      <w:r w:rsidR="00CA4DCE">
        <w:rPr>
          <w:i/>
          <w:sz w:val="24"/>
          <w:szCs w:val="24"/>
        </w:rPr>
        <w:t xml:space="preserve">z OZE </w:t>
      </w:r>
      <w:r w:rsidR="008F11FB" w:rsidRPr="00C77DA0">
        <w:rPr>
          <w:i/>
          <w:sz w:val="24"/>
          <w:szCs w:val="24"/>
        </w:rPr>
        <w:t>operátorovi trhu</w:t>
      </w:r>
      <w:r w:rsidR="00CA4DCE">
        <w:rPr>
          <w:i/>
          <w:sz w:val="24"/>
          <w:szCs w:val="24"/>
        </w:rPr>
        <w:t>, tak jak jsou i v současném stavu obdobné výkazy pravidelně, prostřednictvím systému operátora trhu, předávány pro výplatu podpory výrobcům elektřiny z OZE</w:t>
      </w:r>
      <w:r w:rsidR="008F11FB" w:rsidRPr="00C77DA0">
        <w:rPr>
          <w:i/>
          <w:sz w:val="24"/>
          <w:szCs w:val="24"/>
        </w:rPr>
        <w:t xml:space="preserve">. </w:t>
      </w:r>
      <w:r w:rsidR="008D6E73" w:rsidRPr="00C77DA0">
        <w:rPr>
          <w:i/>
          <w:sz w:val="24"/>
          <w:szCs w:val="24"/>
        </w:rPr>
        <w:t>Půjde tak o úpravu a rozšíření dnes již pravidelně předávaných výkazů od výrobce elektřiny z OZE operátorovi trhu</w:t>
      </w:r>
      <w:r w:rsidR="00786E78">
        <w:rPr>
          <w:i/>
          <w:sz w:val="24"/>
          <w:szCs w:val="24"/>
        </w:rPr>
        <w:t xml:space="preserve"> prostřednictvím vyhlášky č. 145/2016 Sb., </w:t>
      </w:r>
      <w:r w:rsidR="00786E78" w:rsidRPr="00786E78">
        <w:rPr>
          <w:i/>
          <w:sz w:val="24"/>
          <w:szCs w:val="24"/>
        </w:rPr>
        <w:t>o vykazování elektřiny a tepla z podporovaných zdrojů a k provedení některých dalších ustanovení zákona o podporovaných zdrojích energie (vyhláška o vykazování energie z podporovaných zdrojů)</w:t>
      </w:r>
      <w:r w:rsidR="00C77DA0" w:rsidRPr="00C77DA0">
        <w:rPr>
          <w:i/>
          <w:sz w:val="24"/>
          <w:szCs w:val="24"/>
        </w:rPr>
        <w:t>.</w:t>
      </w:r>
    </w:p>
    <w:p w14:paraId="57CC33BA" w14:textId="6AA96AEA" w:rsidR="00786E78" w:rsidRDefault="00C77DA0" w:rsidP="00681B5C">
      <w:pPr>
        <w:tabs>
          <w:tab w:val="left" w:pos="426"/>
        </w:tabs>
        <w:overflowPunct/>
        <w:autoSpaceDE/>
        <w:autoSpaceDN/>
        <w:adjustRightInd/>
        <w:spacing w:before="100" w:beforeAutospacing="1" w:after="100" w:afterAutospacing="1" w:line="276" w:lineRule="auto"/>
        <w:jc w:val="both"/>
        <w:textAlignment w:val="auto"/>
        <w:rPr>
          <w:i/>
          <w:sz w:val="24"/>
          <w:szCs w:val="24"/>
        </w:rPr>
      </w:pPr>
      <w:r w:rsidRPr="00681B5C">
        <w:rPr>
          <w:i/>
          <w:sz w:val="24"/>
          <w:szCs w:val="24"/>
        </w:rPr>
        <w:t xml:space="preserve">Zároveň bude potřeba zajistit úpravu informačního systému </w:t>
      </w:r>
      <w:r w:rsidR="00656330">
        <w:rPr>
          <w:i/>
          <w:sz w:val="24"/>
          <w:szCs w:val="24"/>
        </w:rPr>
        <w:t>operátora trhu</w:t>
      </w:r>
      <w:r w:rsidRPr="00681B5C">
        <w:rPr>
          <w:b/>
          <w:i/>
          <w:sz w:val="24"/>
          <w:szCs w:val="24"/>
        </w:rPr>
        <w:t xml:space="preserve"> </w:t>
      </w:r>
      <w:r w:rsidRPr="00681B5C">
        <w:rPr>
          <w:i/>
          <w:sz w:val="24"/>
          <w:szCs w:val="24"/>
        </w:rPr>
        <w:t xml:space="preserve">tak, aby mohl průběžně vyhodnocovat a sledovat naplňování výše hranice podpory o hodnotě de minimis, sledovat termíny pro provedení mechanismu </w:t>
      </w:r>
      <w:r w:rsidR="00593AAF">
        <w:rPr>
          <w:i/>
          <w:sz w:val="24"/>
          <w:szCs w:val="24"/>
        </w:rPr>
        <w:t xml:space="preserve">kontroly přiměřenosti podpory </w:t>
      </w:r>
      <w:r w:rsidRPr="00681B5C">
        <w:rPr>
          <w:i/>
          <w:sz w:val="24"/>
          <w:szCs w:val="24"/>
        </w:rPr>
        <w:t>u jednotlivých zdrojů a mohl eventuálně tyto zdroje včas na prováděnou kontrolu upozornit</w:t>
      </w:r>
      <w:r w:rsidR="00786E78" w:rsidRPr="00BD4871">
        <w:rPr>
          <w:i/>
          <w:sz w:val="24"/>
          <w:szCs w:val="24"/>
        </w:rPr>
        <w:t xml:space="preserve"> (vyhláška č. 145/2016 Sb.)</w:t>
      </w:r>
      <w:r w:rsidRPr="00BD4871">
        <w:rPr>
          <w:i/>
          <w:sz w:val="24"/>
          <w:szCs w:val="24"/>
        </w:rPr>
        <w:t>.</w:t>
      </w:r>
      <w:r w:rsidR="00786E78" w:rsidRPr="00BD4871">
        <w:rPr>
          <w:i/>
          <w:sz w:val="24"/>
          <w:szCs w:val="24"/>
        </w:rPr>
        <w:t xml:space="preserve"> </w:t>
      </w:r>
      <w:r w:rsidR="00786E78" w:rsidRPr="00681B5C">
        <w:rPr>
          <w:i/>
          <w:sz w:val="24"/>
          <w:szCs w:val="24"/>
        </w:rPr>
        <w:t xml:space="preserve">Dále bude potřeba informační systém </w:t>
      </w:r>
      <w:r w:rsidR="00656330">
        <w:rPr>
          <w:i/>
          <w:sz w:val="24"/>
          <w:szCs w:val="24"/>
        </w:rPr>
        <w:t>operátora trhu</w:t>
      </w:r>
      <w:r w:rsidR="00786E78" w:rsidRPr="00681B5C">
        <w:rPr>
          <w:i/>
          <w:sz w:val="24"/>
          <w:szCs w:val="24"/>
        </w:rPr>
        <w:t xml:space="preserve"> upravit tak, aby mohl být propojen (nebo čerpat informace</w:t>
      </w:r>
      <w:r w:rsidR="00656330">
        <w:rPr>
          <w:i/>
          <w:sz w:val="24"/>
          <w:szCs w:val="24"/>
        </w:rPr>
        <w:t>) z centrálního registru</w:t>
      </w:r>
      <w:r w:rsidR="00786E78" w:rsidRPr="00681B5C">
        <w:rPr>
          <w:i/>
          <w:sz w:val="24"/>
          <w:szCs w:val="24"/>
        </w:rPr>
        <w:t xml:space="preserve"> </w:t>
      </w:r>
      <w:r w:rsidR="00656330">
        <w:rPr>
          <w:i/>
          <w:sz w:val="24"/>
          <w:szCs w:val="24"/>
        </w:rPr>
        <w:t xml:space="preserve">podpory de minimis </w:t>
      </w:r>
      <w:r w:rsidR="00786E78" w:rsidRPr="00681B5C">
        <w:rPr>
          <w:i/>
          <w:sz w:val="24"/>
          <w:szCs w:val="24"/>
        </w:rPr>
        <w:t xml:space="preserve">tak, aby mohlo docházet </w:t>
      </w:r>
      <w:r w:rsidR="00681B5C" w:rsidRPr="00681B5C">
        <w:rPr>
          <w:i/>
          <w:sz w:val="24"/>
          <w:szCs w:val="24"/>
        </w:rPr>
        <w:t xml:space="preserve">ze stany operátora trhu </w:t>
      </w:r>
      <w:r w:rsidR="00786E78" w:rsidRPr="00681B5C">
        <w:rPr>
          <w:i/>
          <w:sz w:val="24"/>
          <w:szCs w:val="24"/>
        </w:rPr>
        <w:t>k přesnému vymezení jednotlivých zdrojů a subjektů čerpajících p</w:t>
      </w:r>
      <w:r w:rsidR="00681B5C" w:rsidRPr="00681B5C">
        <w:rPr>
          <w:i/>
          <w:sz w:val="24"/>
          <w:szCs w:val="24"/>
        </w:rPr>
        <w:t>odporu pod „hranici de minimis“</w:t>
      </w:r>
      <w:r w:rsidR="00681B5C">
        <w:rPr>
          <w:i/>
          <w:sz w:val="24"/>
          <w:szCs w:val="24"/>
        </w:rPr>
        <w:t>.</w:t>
      </w:r>
    </w:p>
    <w:p w14:paraId="7D569B31" w14:textId="17806145" w:rsidR="00C77DA0" w:rsidRPr="00C77DA0" w:rsidRDefault="00C77DA0" w:rsidP="00C77DA0">
      <w:pPr>
        <w:pStyle w:val="Odstavecseseznamem"/>
        <w:tabs>
          <w:tab w:val="left" w:pos="426"/>
        </w:tabs>
        <w:overflowPunct/>
        <w:autoSpaceDE/>
        <w:autoSpaceDN/>
        <w:adjustRightInd/>
        <w:spacing w:before="100" w:beforeAutospacing="1" w:after="100" w:afterAutospacing="1" w:line="276" w:lineRule="auto"/>
        <w:ind w:left="0"/>
        <w:jc w:val="both"/>
        <w:textAlignment w:val="auto"/>
        <w:rPr>
          <w:i/>
          <w:sz w:val="24"/>
          <w:szCs w:val="24"/>
          <w:u w:val="single"/>
        </w:rPr>
      </w:pPr>
      <w:r w:rsidRPr="00803792">
        <w:rPr>
          <w:i/>
          <w:sz w:val="24"/>
          <w:szCs w:val="24"/>
        </w:rPr>
        <w:t xml:space="preserve">b)       </w:t>
      </w:r>
      <w:r w:rsidRPr="00C77DA0">
        <w:rPr>
          <w:i/>
          <w:sz w:val="24"/>
          <w:szCs w:val="24"/>
          <w:u w:val="single"/>
        </w:rPr>
        <w:t>Ministerstvo průmyslu a obchodu</w:t>
      </w:r>
    </w:p>
    <w:p w14:paraId="363B60DB" w14:textId="3BF0847D" w:rsidR="00C77DA0" w:rsidRPr="00C77DA0" w:rsidRDefault="008F11FB" w:rsidP="00C77DA0">
      <w:pPr>
        <w:tabs>
          <w:tab w:val="left" w:pos="426"/>
        </w:tabs>
        <w:overflowPunct/>
        <w:autoSpaceDE/>
        <w:autoSpaceDN/>
        <w:adjustRightInd/>
        <w:spacing w:before="100" w:beforeAutospacing="1" w:after="100" w:afterAutospacing="1" w:line="276" w:lineRule="auto"/>
        <w:jc w:val="both"/>
        <w:textAlignment w:val="auto"/>
        <w:rPr>
          <w:rFonts w:cstheme="minorHAnsi"/>
          <w:i/>
          <w:sz w:val="24"/>
          <w:szCs w:val="24"/>
        </w:rPr>
      </w:pPr>
      <w:r w:rsidRPr="00C77DA0">
        <w:rPr>
          <w:i/>
          <w:sz w:val="24"/>
          <w:szCs w:val="24"/>
        </w:rPr>
        <w:t>Ve vazbě na sekundární legislativu bude potřeba upravit vyhlášku č. 145/2016 Sb., kde by měl</w:t>
      </w:r>
      <w:r w:rsidR="00F96CAE" w:rsidRPr="00C77DA0">
        <w:rPr>
          <w:i/>
          <w:sz w:val="24"/>
          <w:szCs w:val="24"/>
        </w:rPr>
        <w:t>y</w:t>
      </w:r>
      <w:r w:rsidRPr="00C77DA0">
        <w:rPr>
          <w:i/>
          <w:sz w:val="24"/>
          <w:szCs w:val="24"/>
        </w:rPr>
        <w:t xml:space="preserve"> být doplněny příslušné výkazy, které by výrobce elektřiny předával operátorovi trhu </w:t>
      </w:r>
      <w:r w:rsidR="00C77DA0" w:rsidRPr="00C77DA0">
        <w:rPr>
          <w:rFonts w:cstheme="minorHAnsi"/>
          <w:i/>
          <w:sz w:val="24"/>
          <w:szCs w:val="24"/>
        </w:rPr>
        <w:t xml:space="preserve">Z důvodu </w:t>
      </w:r>
      <w:r w:rsidR="00786E78">
        <w:rPr>
          <w:rFonts w:cstheme="minorHAnsi"/>
          <w:i/>
          <w:sz w:val="24"/>
          <w:szCs w:val="24"/>
        </w:rPr>
        <w:t xml:space="preserve">úpravy rozsahu výše uvedené vyhlášky </w:t>
      </w:r>
      <w:r w:rsidR="00C77DA0" w:rsidRPr="00C77DA0">
        <w:rPr>
          <w:rFonts w:cstheme="minorHAnsi"/>
          <w:i/>
          <w:sz w:val="24"/>
          <w:szCs w:val="24"/>
        </w:rPr>
        <w:t xml:space="preserve">by připravovaná novela zákona č. 165/2012 Sb., měla obsahovat i rozšíření zmocnění k vydání </w:t>
      </w:r>
      <w:r w:rsidR="00656330">
        <w:rPr>
          <w:rFonts w:cstheme="minorHAnsi"/>
          <w:i/>
          <w:sz w:val="24"/>
          <w:szCs w:val="24"/>
        </w:rPr>
        <w:t xml:space="preserve">takto upraveného prováděcího předpisu </w:t>
      </w:r>
      <w:r w:rsidR="00593AAF">
        <w:rPr>
          <w:rFonts w:cstheme="minorHAnsi"/>
          <w:i/>
          <w:sz w:val="24"/>
          <w:szCs w:val="24"/>
        </w:rPr>
        <w:t xml:space="preserve">pro </w:t>
      </w:r>
      <w:r w:rsidR="00656330">
        <w:rPr>
          <w:rFonts w:cstheme="minorHAnsi"/>
          <w:i/>
          <w:sz w:val="24"/>
          <w:szCs w:val="24"/>
        </w:rPr>
        <w:t>Ministerstva</w:t>
      </w:r>
      <w:r w:rsidR="00C77DA0" w:rsidRPr="00C77DA0">
        <w:rPr>
          <w:rFonts w:cstheme="minorHAnsi"/>
          <w:i/>
          <w:sz w:val="24"/>
          <w:szCs w:val="24"/>
        </w:rPr>
        <w:t xml:space="preserve"> průmyslu a obchodu.</w:t>
      </w:r>
    </w:p>
    <w:p w14:paraId="31416E90" w14:textId="11415A04" w:rsidR="00C77DA0" w:rsidRPr="00C77DA0" w:rsidRDefault="00C77DA0" w:rsidP="00C77DA0">
      <w:pPr>
        <w:pStyle w:val="Odstavecseseznamem"/>
        <w:tabs>
          <w:tab w:val="left" w:pos="426"/>
        </w:tabs>
        <w:overflowPunct/>
        <w:autoSpaceDE/>
        <w:autoSpaceDN/>
        <w:adjustRightInd/>
        <w:spacing w:before="100" w:beforeAutospacing="1" w:after="100" w:afterAutospacing="1" w:line="276" w:lineRule="auto"/>
        <w:ind w:left="0"/>
        <w:jc w:val="both"/>
        <w:textAlignment w:val="auto"/>
        <w:rPr>
          <w:i/>
          <w:sz w:val="24"/>
          <w:szCs w:val="24"/>
          <w:u w:val="single"/>
        </w:rPr>
      </w:pPr>
      <w:r w:rsidRPr="00803792">
        <w:rPr>
          <w:i/>
          <w:sz w:val="24"/>
          <w:szCs w:val="24"/>
        </w:rPr>
        <w:t xml:space="preserve">c)      </w:t>
      </w:r>
      <w:r w:rsidRPr="00C77DA0">
        <w:rPr>
          <w:i/>
          <w:sz w:val="24"/>
          <w:szCs w:val="24"/>
          <w:u w:val="single"/>
        </w:rPr>
        <w:t>Energetický regulační úřad</w:t>
      </w:r>
    </w:p>
    <w:p w14:paraId="5750AFAA" w14:textId="03F30BD7" w:rsidR="008F11FB" w:rsidRDefault="008F11FB" w:rsidP="004713EF">
      <w:pPr>
        <w:tabs>
          <w:tab w:val="left" w:pos="426"/>
        </w:tabs>
        <w:overflowPunct/>
        <w:autoSpaceDE/>
        <w:autoSpaceDN/>
        <w:adjustRightInd/>
        <w:spacing w:before="100" w:beforeAutospacing="1" w:after="100" w:afterAutospacing="1" w:line="276" w:lineRule="auto"/>
        <w:jc w:val="both"/>
        <w:textAlignment w:val="auto"/>
        <w:rPr>
          <w:i/>
          <w:sz w:val="24"/>
          <w:szCs w:val="24"/>
        </w:rPr>
      </w:pPr>
      <w:r w:rsidRPr="00FD48F4">
        <w:rPr>
          <w:i/>
          <w:sz w:val="24"/>
          <w:szCs w:val="24"/>
        </w:rPr>
        <w:t xml:space="preserve">V případě, že by operátor trhu </w:t>
      </w:r>
      <w:r w:rsidR="006C37F2">
        <w:rPr>
          <w:i/>
          <w:sz w:val="24"/>
          <w:szCs w:val="24"/>
        </w:rPr>
        <w:t>při vyhodnocování</w:t>
      </w:r>
      <w:r w:rsidRPr="00FD48F4">
        <w:rPr>
          <w:i/>
          <w:sz w:val="24"/>
          <w:szCs w:val="24"/>
        </w:rPr>
        <w:t xml:space="preserve"> </w:t>
      </w:r>
      <w:r w:rsidR="006C37F2" w:rsidRPr="00FD48F4">
        <w:rPr>
          <w:i/>
          <w:sz w:val="24"/>
          <w:szCs w:val="24"/>
        </w:rPr>
        <w:t>údaj</w:t>
      </w:r>
      <w:r w:rsidR="006C37F2">
        <w:rPr>
          <w:i/>
          <w:sz w:val="24"/>
          <w:szCs w:val="24"/>
        </w:rPr>
        <w:t>ů</w:t>
      </w:r>
      <w:r w:rsidR="006C37F2" w:rsidRPr="00FD48F4">
        <w:rPr>
          <w:i/>
          <w:sz w:val="24"/>
          <w:szCs w:val="24"/>
        </w:rPr>
        <w:t xml:space="preserve"> </w:t>
      </w:r>
      <w:r w:rsidRPr="00FD48F4">
        <w:rPr>
          <w:i/>
          <w:sz w:val="24"/>
          <w:szCs w:val="24"/>
        </w:rPr>
        <w:t xml:space="preserve">v některých předkládaných výkazech určených pro mechanismus </w:t>
      </w:r>
      <w:r w:rsidR="00593AAF">
        <w:rPr>
          <w:i/>
          <w:sz w:val="24"/>
          <w:szCs w:val="24"/>
        </w:rPr>
        <w:t xml:space="preserve">kontroly přiměřenosti podpory </w:t>
      </w:r>
      <w:r w:rsidRPr="00FD48F4">
        <w:rPr>
          <w:i/>
          <w:sz w:val="24"/>
          <w:szCs w:val="24"/>
        </w:rPr>
        <w:t>identifikoval nepře</w:t>
      </w:r>
      <w:r w:rsidR="009417FA">
        <w:rPr>
          <w:i/>
          <w:sz w:val="24"/>
          <w:szCs w:val="24"/>
        </w:rPr>
        <w:t>s</w:t>
      </w:r>
      <w:r w:rsidRPr="00FD48F4">
        <w:rPr>
          <w:i/>
          <w:sz w:val="24"/>
          <w:szCs w:val="24"/>
        </w:rPr>
        <w:t>nosti</w:t>
      </w:r>
      <w:r w:rsidR="008D6E73">
        <w:rPr>
          <w:i/>
          <w:sz w:val="24"/>
          <w:szCs w:val="24"/>
        </w:rPr>
        <w:t>,</w:t>
      </w:r>
      <w:r w:rsidRPr="00FD48F4">
        <w:rPr>
          <w:i/>
          <w:sz w:val="24"/>
          <w:szCs w:val="24"/>
        </w:rPr>
        <w:t xml:space="preserve"> anomálie, případně nesoučinnost výrobce </w:t>
      </w:r>
      <w:r w:rsidR="00F96CAE" w:rsidRPr="00FD48F4">
        <w:rPr>
          <w:i/>
          <w:sz w:val="24"/>
          <w:szCs w:val="24"/>
        </w:rPr>
        <w:t>e</w:t>
      </w:r>
      <w:r w:rsidRPr="00FD48F4">
        <w:rPr>
          <w:i/>
          <w:sz w:val="24"/>
          <w:szCs w:val="24"/>
        </w:rPr>
        <w:t>lektřiny</w:t>
      </w:r>
      <w:r w:rsidR="008D6E73">
        <w:rPr>
          <w:i/>
          <w:sz w:val="24"/>
          <w:szCs w:val="24"/>
        </w:rPr>
        <w:t xml:space="preserve"> s prováděním mechanismu</w:t>
      </w:r>
      <w:r w:rsidR="00593AAF">
        <w:rPr>
          <w:i/>
          <w:sz w:val="24"/>
          <w:szCs w:val="24"/>
        </w:rPr>
        <w:t xml:space="preserve"> kontroly přiměřenosti podpory</w:t>
      </w:r>
      <w:r w:rsidRPr="00FD48F4">
        <w:rPr>
          <w:i/>
          <w:sz w:val="24"/>
          <w:szCs w:val="24"/>
        </w:rPr>
        <w:t>, pak by předa</w:t>
      </w:r>
      <w:r w:rsidR="008D6E73">
        <w:rPr>
          <w:i/>
          <w:sz w:val="24"/>
          <w:szCs w:val="24"/>
        </w:rPr>
        <w:t>l</w:t>
      </w:r>
      <w:r w:rsidRPr="00FD48F4">
        <w:rPr>
          <w:i/>
          <w:sz w:val="24"/>
          <w:szCs w:val="24"/>
        </w:rPr>
        <w:t xml:space="preserve"> podnět k</w:t>
      </w:r>
      <w:r w:rsidR="008D6E73">
        <w:rPr>
          <w:i/>
          <w:sz w:val="24"/>
          <w:szCs w:val="24"/>
        </w:rPr>
        <w:t xml:space="preserve"> prošetření </w:t>
      </w:r>
      <w:r w:rsidRPr="00FD48F4">
        <w:rPr>
          <w:i/>
          <w:sz w:val="24"/>
          <w:szCs w:val="24"/>
        </w:rPr>
        <w:t>Energetickému regulačnímu úřadu.</w:t>
      </w:r>
    </w:p>
    <w:p w14:paraId="391CCA2C" w14:textId="77777777" w:rsidR="00C07DEA" w:rsidRDefault="00C07DEA" w:rsidP="004713EF">
      <w:pPr>
        <w:tabs>
          <w:tab w:val="left" w:pos="426"/>
        </w:tabs>
        <w:overflowPunct/>
        <w:autoSpaceDE/>
        <w:autoSpaceDN/>
        <w:adjustRightInd/>
        <w:spacing w:before="100" w:beforeAutospacing="1" w:after="100" w:afterAutospacing="1" w:line="276" w:lineRule="auto"/>
        <w:jc w:val="both"/>
        <w:textAlignment w:val="auto"/>
        <w:rPr>
          <w:i/>
          <w:sz w:val="24"/>
          <w:szCs w:val="24"/>
        </w:rPr>
      </w:pPr>
    </w:p>
    <w:p w14:paraId="2084B99A" w14:textId="77777777" w:rsidR="00C07DEA" w:rsidRDefault="00C07DEA" w:rsidP="004713EF">
      <w:pPr>
        <w:tabs>
          <w:tab w:val="left" w:pos="426"/>
        </w:tabs>
        <w:overflowPunct/>
        <w:autoSpaceDE/>
        <w:autoSpaceDN/>
        <w:adjustRightInd/>
        <w:spacing w:before="100" w:beforeAutospacing="1" w:after="100" w:afterAutospacing="1" w:line="276" w:lineRule="auto"/>
        <w:jc w:val="both"/>
        <w:textAlignment w:val="auto"/>
        <w:rPr>
          <w:i/>
          <w:sz w:val="24"/>
          <w:szCs w:val="24"/>
        </w:rPr>
      </w:pPr>
    </w:p>
    <w:p w14:paraId="1ED10497" w14:textId="77777777" w:rsidR="00C07DEA" w:rsidRDefault="00C07DEA" w:rsidP="004713EF">
      <w:pPr>
        <w:tabs>
          <w:tab w:val="left" w:pos="426"/>
        </w:tabs>
        <w:overflowPunct/>
        <w:autoSpaceDE/>
        <w:autoSpaceDN/>
        <w:adjustRightInd/>
        <w:spacing w:before="100" w:beforeAutospacing="1" w:after="100" w:afterAutospacing="1" w:line="276" w:lineRule="auto"/>
        <w:jc w:val="both"/>
        <w:textAlignment w:val="auto"/>
        <w:rPr>
          <w:i/>
          <w:sz w:val="24"/>
          <w:szCs w:val="24"/>
        </w:rPr>
      </w:pPr>
    </w:p>
    <w:p w14:paraId="53A9DECF" w14:textId="77777777" w:rsidR="00C07DEA" w:rsidRPr="00FD48F4" w:rsidRDefault="00C07DEA" w:rsidP="004713EF">
      <w:pPr>
        <w:tabs>
          <w:tab w:val="left" w:pos="426"/>
        </w:tabs>
        <w:overflowPunct/>
        <w:autoSpaceDE/>
        <w:autoSpaceDN/>
        <w:adjustRightInd/>
        <w:spacing w:before="100" w:beforeAutospacing="1" w:after="100" w:afterAutospacing="1" w:line="276" w:lineRule="auto"/>
        <w:jc w:val="both"/>
        <w:textAlignment w:val="auto"/>
        <w:rPr>
          <w:i/>
          <w:sz w:val="24"/>
          <w:szCs w:val="24"/>
        </w:rPr>
      </w:pPr>
    </w:p>
    <w:p w14:paraId="7605A394" w14:textId="13E9179D" w:rsidR="00082BB7" w:rsidRPr="00FD48F4" w:rsidRDefault="00932365" w:rsidP="00206B23">
      <w:pPr>
        <w:pStyle w:val="Nadpis1"/>
        <w:numPr>
          <w:ilvl w:val="0"/>
          <w:numId w:val="24"/>
        </w:numPr>
        <w:ind w:left="426" w:hanging="426"/>
        <w:jc w:val="both"/>
        <w:rPr>
          <w:rFonts w:asciiTheme="majorHAnsi" w:hAnsiTheme="majorHAnsi"/>
          <w:b w:val="0"/>
          <w:sz w:val="32"/>
          <w:szCs w:val="32"/>
        </w:rPr>
      </w:pPr>
      <w:bookmarkStart w:id="3" w:name="_Toc476517917"/>
      <w:r w:rsidRPr="00FD48F4">
        <w:rPr>
          <w:rFonts w:asciiTheme="majorHAnsi" w:hAnsiTheme="majorHAnsi"/>
          <w:sz w:val="32"/>
          <w:szCs w:val="32"/>
        </w:rPr>
        <w:t xml:space="preserve">Závazky </w:t>
      </w:r>
      <w:r w:rsidR="00BB6C54" w:rsidRPr="00FD48F4">
        <w:rPr>
          <w:rFonts w:asciiTheme="majorHAnsi" w:hAnsiTheme="majorHAnsi"/>
          <w:sz w:val="32"/>
          <w:szCs w:val="32"/>
        </w:rPr>
        <w:t>k</w:t>
      </w:r>
      <w:r w:rsidR="004D26B7" w:rsidRPr="00FD48F4">
        <w:rPr>
          <w:rFonts w:asciiTheme="majorHAnsi" w:hAnsiTheme="majorHAnsi"/>
          <w:sz w:val="32"/>
          <w:szCs w:val="32"/>
        </w:rPr>
        <w:t> </w:t>
      </w:r>
      <w:r w:rsidR="00A8142D">
        <w:rPr>
          <w:rFonts w:asciiTheme="majorHAnsi" w:hAnsiTheme="majorHAnsi"/>
          <w:sz w:val="32"/>
          <w:szCs w:val="32"/>
        </w:rPr>
        <w:t xml:space="preserve"> mechanismu </w:t>
      </w:r>
      <w:r w:rsidR="00593AAF">
        <w:rPr>
          <w:rFonts w:asciiTheme="majorHAnsi" w:hAnsiTheme="majorHAnsi"/>
          <w:sz w:val="32"/>
          <w:szCs w:val="32"/>
        </w:rPr>
        <w:t xml:space="preserve">kontroly přiměřenosti </w:t>
      </w:r>
      <w:r w:rsidR="00BB6C54" w:rsidRPr="00FD48F4">
        <w:rPr>
          <w:rFonts w:asciiTheme="majorHAnsi" w:hAnsiTheme="majorHAnsi"/>
          <w:sz w:val="32"/>
          <w:szCs w:val="32"/>
        </w:rPr>
        <w:t xml:space="preserve">podpory </w:t>
      </w:r>
      <w:r w:rsidRPr="00FD48F4">
        <w:rPr>
          <w:rFonts w:asciiTheme="majorHAnsi" w:hAnsiTheme="majorHAnsi"/>
          <w:sz w:val="32"/>
          <w:szCs w:val="32"/>
        </w:rPr>
        <w:t xml:space="preserve">vyplývající </w:t>
      </w:r>
      <w:r w:rsidR="00BB6C54" w:rsidRPr="00FD48F4">
        <w:rPr>
          <w:rFonts w:asciiTheme="majorHAnsi" w:hAnsiTheme="majorHAnsi"/>
          <w:sz w:val="32"/>
          <w:szCs w:val="32"/>
        </w:rPr>
        <w:t xml:space="preserve">pro ČR </w:t>
      </w:r>
      <w:r w:rsidRPr="00FD48F4">
        <w:rPr>
          <w:rFonts w:asciiTheme="majorHAnsi" w:hAnsiTheme="majorHAnsi"/>
          <w:sz w:val="32"/>
          <w:szCs w:val="32"/>
        </w:rPr>
        <w:t>z</w:t>
      </w:r>
      <w:r w:rsidR="004D26B7" w:rsidRPr="00FD48F4">
        <w:rPr>
          <w:rFonts w:asciiTheme="majorHAnsi" w:hAnsiTheme="majorHAnsi"/>
          <w:sz w:val="32"/>
          <w:szCs w:val="32"/>
        </w:rPr>
        <w:t> rozhodnutí Evropské komise</w:t>
      </w:r>
      <w:bookmarkEnd w:id="3"/>
    </w:p>
    <w:p w14:paraId="59CC45AC" w14:textId="0B47DABB" w:rsidR="00E52C17" w:rsidRPr="000328CD" w:rsidRDefault="00E52C17" w:rsidP="004713EF">
      <w:pPr>
        <w:overflowPunct/>
        <w:autoSpaceDE/>
        <w:autoSpaceDN/>
        <w:adjustRightInd/>
        <w:spacing w:before="100" w:beforeAutospacing="1" w:after="100" w:afterAutospacing="1" w:line="276" w:lineRule="auto"/>
        <w:jc w:val="both"/>
        <w:textAlignment w:val="auto"/>
        <w:rPr>
          <w:b/>
          <w:sz w:val="24"/>
          <w:szCs w:val="24"/>
        </w:rPr>
      </w:pPr>
      <w:r w:rsidRPr="000328CD">
        <w:rPr>
          <w:rFonts w:ascii="Calibri" w:hAnsi="Calibri" w:cs="Arial"/>
          <w:bCs/>
          <w:iCs/>
          <w:sz w:val="24"/>
          <w:szCs w:val="24"/>
        </w:rPr>
        <w:t xml:space="preserve">V současné době je Česká republika držitelem </w:t>
      </w:r>
      <w:r w:rsidR="00BD4871">
        <w:rPr>
          <w:rFonts w:ascii="Calibri" w:hAnsi="Calibri" w:cs="Arial"/>
          <w:bCs/>
          <w:iCs/>
          <w:sz w:val="24"/>
          <w:szCs w:val="24"/>
        </w:rPr>
        <w:t xml:space="preserve">čtyř </w:t>
      </w:r>
      <w:r w:rsidRPr="000328CD">
        <w:rPr>
          <w:rFonts w:ascii="Calibri" w:hAnsi="Calibri" w:cs="Arial"/>
          <w:bCs/>
          <w:iCs/>
          <w:sz w:val="24"/>
          <w:szCs w:val="24"/>
        </w:rPr>
        <w:t xml:space="preserve">níže uvedených rozhodnutích, týkající se provozní podpory OZE, kde Evropská komise uvedla, že příslušná podpora je slučitelná s vnitřním trhem EU: </w:t>
      </w:r>
    </w:p>
    <w:p w14:paraId="0395C285" w14:textId="634B3295" w:rsidR="00745B60" w:rsidRPr="000328CD" w:rsidRDefault="00745B60" w:rsidP="00206B23">
      <w:pPr>
        <w:pStyle w:val="Odstavecseseznamem"/>
        <w:numPr>
          <w:ilvl w:val="0"/>
          <w:numId w:val="25"/>
        </w:numPr>
        <w:overflowPunct/>
        <w:spacing w:before="100" w:beforeAutospacing="1" w:after="100" w:afterAutospacing="1" w:line="276" w:lineRule="auto"/>
        <w:ind w:left="426" w:hanging="426"/>
        <w:jc w:val="both"/>
        <w:textAlignment w:val="auto"/>
        <w:rPr>
          <w:rFonts w:eastAsia="TimesNewRoman" w:cs="TimesNewRoman"/>
          <w:i/>
          <w:sz w:val="24"/>
          <w:szCs w:val="24"/>
        </w:rPr>
      </w:pPr>
      <w:r w:rsidRPr="00CD2EB8">
        <w:rPr>
          <w:rFonts w:eastAsia="TimesNewRoman" w:cs="TimesNewRoman"/>
          <w:b/>
          <w:i/>
          <w:sz w:val="24"/>
          <w:szCs w:val="24"/>
        </w:rPr>
        <w:t>SA.40171 (2015/NN)</w:t>
      </w:r>
      <w:r w:rsidRPr="005952FF">
        <w:rPr>
          <w:rFonts w:eastAsia="TimesNewRoman" w:cs="TimesNewRoman"/>
          <w:i/>
          <w:sz w:val="24"/>
          <w:szCs w:val="24"/>
        </w:rPr>
        <w:t xml:space="preserve"> ze dne 28. listopadu 2016 – Česká republika – Podpora výroby elektřiny z obnovitelných zdrojů energie</w:t>
      </w:r>
      <w:r>
        <w:rPr>
          <w:rFonts w:eastAsia="TimesNewRoman" w:cs="TimesNewRoman"/>
          <w:i/>
          <w:sz w:val="24"/>
          <w:szCs w:val="24"/>
        </w:rPr>
        <w:t xml:space="preserve"> (určené pro OZE uvedené do prov</w:t>
      </w:r>
      <w:r w:rsidR="00CC6F8F">
        <w:rPr>
          <w:rFonts w:eastAsia="TimesNewRoman" w:cs="TimesNewRoman"/>
          <w:i/>
          <w:sz w:val="24"/>
          <w:szCs w:val="24"/>
        </w:rPr>
        <w:t>o</w:t>
      </w:r>
      <w:r>
        <w:rPr>
          <w:rFonts w:eastAsia="TimesNewRoman" w:cs="TimesNewRoman"/>
          <w:i/>
          <w:sz w:val="24"/>
          <w:szCs w:val="24"/>
        </w:rPr>
        <w:t>zu v období od 1.1.2006 do 31.12.2012)</w:t>
      </w:r>
    </w:p>
    <w:p w14:paraId="4B8BE8CB" w14:textId="56E07843" w:rsidR="00E52C17" w:rsidRPr="00745B60" w:rsidRDefault="00E52C17" w:rsidP="00206B23">
      <w:pPr>
        <w:pStyle w:val="Odstavecseseznamem"/>
        <w:numPr>
          <w:ilvl w:val="0"/>
          <w:numId w:val="25"/>
        </w:numPr>
        <w:overflowPunct/>
        <w:spacing w:before="100" w:beforeAutospacing="1" w:after="100" w:afterAutospacing="1" w:line="276" w:lineRule="auto"/>
        <w:ind w:left="426" w:hanging="426"/>
        <w:jc w:val="both"/>
        <w:textAlignment w:val="auto"/>
        <w:rPr>
          <w:rFonts w:eastAsia="TimesNewRoman" w:cs="TimesNewRoman"/>
          <w:i/>
          <w:sz w:val="24"/>
          <w:szCs w:val="24"/>
        </w:rPr>
      </w:pPr>
      <w:r w:rsidRPr="00CD2EB8">
        <w:rPr>
          <w:rFonts w:eastAsia="TimesNewRoman" w:cs="TimesNewRoman"/>
          <w:b/>
          <w:i/>
          <w:sz w:val="24"/>
          <w:szCs w:val="24"/>
        </w:rPr>
        <w:t xml:space="preserve">SA.35177 (2014/NN) </w:t>
      </w:r>
      <w:r w:rsidRPr="00745B60">
        <w:rPr>
          <w:rFonts w:eastAsia="TimesNewRoman" w:cs="TimesNewRoman"/>
          <w:i/>
          <w:sz w:val="24"/>
          <w:szCs w:val="24"/>
        </w:rPr>
        <w:t>ze dne 11. června 2014 – Česká republika – Podpora výroby</w:t>
      </w:r>
      <w:r w:rsidR="00745B60" w:rsidRPr="00745B60">
        <w:rPr>
          <w:rFonts w:eastAsia="TimesNewRoman" w:cs="TimesNewRoman"/>
          <w:i/>
          <w:sz w:val="24"/>
          <w:szCs w:val="24"/>
        </w:rPr>
        <w:t xml:space="preserve"> </w:t>
      </w:r>
      <w:r w:rsidRPr="00745B60">
        <w:rPr>
          <w:rFonts w:eastAsia="TimesNewRoman" w:cs="TimesNewRoman"/>
          <w:i/>
          <w:sz w:val="24"/>
          <w:szCs w:val="24"/>
        </w:rPr>
        <w:t>elektřiny z obnovitelných zdrojů energie (určené pro OZE uvedené do prov</w:t>
      </w:r>
      <w:r w:rsidR="00CC6F8F">
        <w:rPr>
          <w:rFonts w:eastAsia="TimesNewRoman" w:cs="TimesNewRoman"/>
          <w:i/>
          <w:sz w:val="24"/>
          <w:szCs w:val="24"/>
        </w:rPr>
        <w:t>o</w:t>
      </w:r>
      <w:r w:rsidRPr="00745B60">
        <w:rPr>
          <w:rFonts w:eastAsia="TimesNewRoman" w:cs="TimesNewRoman"/>
          <w:i/>
          <w:sz w:val="24"/>
          <w:szCs w:val="24"/>
        </w:rPr>
        <w:t>zu v období od 1.1.2013 do 31.12.2015)</w:t>
      </w:r>
    </w:p>
    <w:p w14:paraId="1A31BA0B" w14:textId="77777777" w:rsidR="00E52C17" w:rsidRPr="005952FF" w:rsidRDefault="00E52C17" w:rsidP="00206B23">
      <w:pPr>
        <w:pStyle w:val="Odstavecseseznamem"/>
        <w:numPr>
          <w:ilvl w:val="0"/>
          <w:numId w:val="25"/>
        </w:numPr>
        <w:overflowPunct/>
        <w:spacing w:before="100" w:beforeAutospacing="1" w:after="100" w:afterAutospacing="1" w:line="276" w:lineRule="auto"/>
        <w:ind w:left="426" w:hanging="426"/>
        <w:jc w:val="both"/>
        <w:textAlignment w:val="auto"/>
        <w:rPr>
          <w:rFonts w:eastAsia="TimesNewRoman" w:cs="TimesNewRoman"/>
          <w:i/>
          <w:sz w:val="24"/>
          <w:szCs w:val="24"/>
        </w:rPr>
      </w:pPr>
      <w:r w:rsidRPr="00CD2EB8">
        <w:rPr>
          <w:rFonts w:eastAsia="TimesNewRoman" w:cs="TimesNewRoman"/>
          <w:b/>
          <w:i/>
          <w:sz w:val="24"/>
          <w:szCs w:val="24"/>
        </w:rPr>
        <w:t>SA.43182 (2015/N)</w:t>
      </w:r>
      <w:r w:rsidRPr="005952FF">
        <w:rPr>
          <w:rFonts w:eastAsia="TimesNewRoman" w:cs="TimesNewRoman"/>
          <w:i/>
          <w:sz w:val="24"/>
          <w:szCs w:val="24"/>
        </w:rPr>
        <w:t xml:space="preserve"> ze dne 22. srpna 2016 – Česká republika – Podpora výroby elektřiny z malých vodních elektráren </w:t>
      </w:r>
      <w:r>
        <w:rPr>
          <w:rFonts w:eastAsia="TimesNewRoman" w:cs="TimesNewRoman"/>
          <w:i/>
          <w:sz w:val="24"/>
          <w:szCs w:val="24"/>
        </w:rPr>
        <w:t xml:space="preserve"> (určené pro MVE uvedené do provozu v období od 1.1.2016 do 31.12.2020)</w:t>
      </w:r>
    </w:p>
    <w:p w14:paraId="223820F8" w14:textId="7C727F06" w:rsidR="00E52C17" w:rsidRPr="000328CD" w:rsidRDefault="00E52C17" w:rsidP="00206B23">
      <w:pPr>
        <w:pStyle w:val="Odstavecseseznamem"/>
        <w:numPr>
          <w:ilvl w:val="0"/>
          <w:numId w:val="25"/>
        </w:numPr>
        <w:overflowPunct/>
        <w:spacing w:before="100" w:beforeAutospacing="1" w:after="100" w:afterAutospacing="1" w:line="276" w:lineRule="auto"/>
        <w:ind w:left="426" w:hanging="426"/>
        <w:jc w:val="both"/>
        <w:textAlignment w:val="auto"/>
        <w:rPr>
          <w:rFonts w:eastAsia="TimesNewRoman" w:cs="TimesNewRoman"/>
          <w:i/>
          <w:sz w:val="24"/>
          <w:szCs w:val="24"/>
        </w:rPr>
      </w:pPr>
      <w:r w:rsidRPr="00CD2EB8">
        <w:rPr>
          <w:rFonts w:eastAsia="TimesNewRoman" w:cs="TimesNewRoman"/>
          <w:b/>
          <w:i/>
          <w:sz w:val="24"/>
          <w:szCs w:val="24"/>
        </w:rPr>
        <w:t xml:space="preserve">SA.43451 (2015/N) </w:t>
      </w:r>
      <w:r w:rsidRPr="005952FF">
        <w:rPr>
          <w:rFonts w:eastAsia="TimesNewRoman" w:cs="TimesNewRoman"/>
          <w:i/>
          <w:sz w:val="24"/>
          <w:szCs w:val="24"/>
        </w:rPr>
        <w:t>ze dne 22. srpna 2016 – Česká republika - Provozní podpora malým bioplynovým stanicím s instalovaným výkonem do 500 kW</w:t>
      </w:r>
      <w:r>
        <w:rPr>
          <w:rFonts w:eastAsia="TimesNewRoman" w:cs="TimesNewRoman"/>
          <w:i/>
          <w:sz w:val="24"/>
          <w:szCs w:val="24"/>
        </w:rPr>
        <w:t xml:space="preserve"> </w:t>
      </w:r>
      <w:r w:rsidRPr="000328CD">
        <w:rPr>
          <w:rFonts w:eastAsia="TimesNewRoman" w:cs="TimesNewRoman"/>
          <w:i/>
          <w:sz w:val="24"/>
          <w:szCs w:val="24"/>
        </w:rPr>
        <w:t xml:space="preserve"> </w:t>
      </w:r>
      <w:r>
        <w:rPr>
          <w:rFonts w:eastAsia="TimesNewRoman" w:cs="TimesNewRoman"/>
          <w:i/>
          <w:sz w:val="24"/>
          <w:szCs w:val="24"/>
        </w:rPr>
        <w:t>(určené pro zdroje uv</w:t>
      </w:r>
      <w:r w:rsidR="00CC6F8F">
        <w:rPr>
          <w:rFonts w:eastAsia="TimesNewRoman" w:cs="TimesNewRoman"/>
          <w:i/>
          <w:sz w:val="24"/>
          <w:szCs w:val="24"/>
        </w:rPr>
        <w:t>e</w:t>
      </w:r>
      <w:r>
        <w:rPr>
          <w:rFonts w:eastAsia="TimesNewRoman" w:cs="TimesNewRoman"/>
          <w:i/>
          <w:sz w:val="24"/>
          <w:szCs w:val="24"/>
        </w:rPr>
        <w:t>dené do provozu v období od 1.1.2016 do 31.12.2020)</w:t>
      </w:r>
    </w:p>
    <w:p w14:paraId="5E5599E4" w14:textId="77777777" w:rsidR="00E52C17" w:rsidRDefault="00E52C17" w:rsidP="004713EF">
      <w:pPr>
        <w:pStyle w:val="Odstavecseseznamem"/>
        <w:spacing w:before="100" w:beforeAutospacing="1" w:after="100" w:afterAutospacing="1" w:line="276" w:lineRule="auto"/>
        <w:ind w:left="0"/>
        <w:jc w:val="both"/>
        <w:rPr>
          <w:rFonts w:eastAsia="TimesNewRoman" w:cs="TimesNewRoman"/>
          <w:i/>
          <w:sz w:val="24"/>
          <w:szCs w:val="24"/>
        </w:rPr>
      </w:pPr>
    </w:p>
    <w:p w14:paraId="2F57D9C1" w14:textId="5EEF3A34" w:rsidR="00681B5C" w:rsidRPr="00803792" w:rsidRDefault="00BD4871" w:rsidP="004713EF">
      <w:pPr>
        <w:pStyle w:val="Odstavecseseznamem"/>
        <w:spacing w:before="100" w:beforeAutospacing="1" w:after="100" w:afterAutospacing="1" w:line="276" w:lineRule="auto"/>
        <w:ind w:left="0"/>
        <w:jc w:val="both"/>
        <w:rPr>
          <w:rFonts w:eastAsia="TimesNewRoman" w:cs="TimesNewRoman"/>
          <w:sz w:val="24"/>
          <w:szCs w:val="24"/>
        </w:rPr>
      </w:pPr>
      <w:r w:rsidRPr="00803792">
        <w:rPr>
          <w:rFonts w:eastAsia="TimesNewRoman" w:cs="TimesNewRoman"/>
          <w:sz w:val="24"/>
          <w:szCs w:val="24"/>
        </w:rPr>
        <w:t>D</w:t>
      </w:r>
      <w:r w:rsidR="00681B5C" w:rsidRPr="00803792">
        <w:rPr>
          <w:rFonts w:eastAsia="TimesNewRoman" w:cs="TimesNewRoman"/>
          <w:sz w:val="24"/>
          <w:szCs w:val="24"/>
        </w:rPr>
        <w:t xml:space="preserve">ále </w:t>
      </w:r>
      <w:r w:rsidRPr="00803792">
        <w:rPr>
          <w:rFonts w:eastAsia="TimesNewRoman" w:cs="TimesNewRoman"/>
          <w:sz w:val="24"/>
          <w:szCs w:val="24"/>
        </w:rPr>
        <w:t xml:space="preserve">je Česká republika držitelem </w:t>
      </w:r>
      <w:r w:rsidR="00681B5C" w:rsidRPr="00803792">
        <w:rPr>
          <w:rFonts w:eastAsia="TimesNewRoman" w:cs="TimesNewRoman"/>
          <w:sz w:val="24"/>
          <w:szCs w:val="24"/>
        </w:rPr>
        <w:t>také</w:t>
      </w:r>
      <w:r w:rsidRPr="00803792">
        <w:rPr>
          <w:rFonts w:eastAsia="TimesNewRoman" w:cs="TimesNewRoman"/>
          <w:sz w:val="24"/>
          <w:szCs w:val="24"/>
        </w:rPr>
        <w:t xml:space="preserve"> rozhodnutí Evropské komise o slučitelnosti podpory v jiném sektoru než jsou obnovitelné zdroje energie. Jedná se o rozhodnutí k první části podpory elektřiny z kombinované výroby elektřiny a tepla:</w:t>
      </w:r>
    </w:p>
    <w:p w14:paraId="4E932AFE" w14:textId="77777777" w:rsidR="00BD4871" w:rsidRDefault="00BD4871" w:rsidP="004713EF">
      <w:pPr>
        <w:pStyle w:val="Odstavecseseznamem"/>
        <w:spacing w:before="100" w:beforeAutospacing="1" w:after="100" w:afterAutospacing="1" w:line="276" w:lineRule="auto"/>
        <w:ind w:left="0"/>
        <w:jc w:val="both"/>
        <w:rPr>
          <w:rFonts w:eastAsia="TimesNewRoman" w:cs="TimesNewRoman"/>
          <w:i/>
          <w:sz w:val="24"/>
          <w:szCs w:val="24"/>
        </w:rPr>
      </w:pPr>
    </w:p>
    <w:p w14:paraId="61B93F29" w14:textId="4CA1ACE5" w:rsidR="00BD4871" w:rsidRPr="00BD4871" w:rsidRDefault="00BD4871" w:rsidP="000B4301">
      <w:pPr>
        <w:pStyle w:val="Odstavecseseznamem"/>
        <w:numPr>
          <w:ilvl w:val="0"/>
          <w:numId w:val="25"/>
        </w:numPr>
        <w:overflowPunct/>
        <w:adjustRightInd/>
        <w:spacing w:before="100" w:beforeAutospacing="1" w:after="100" w:afterAutospacing="1" w:line="276" w:lineRule="auto"/>
        <w:ind w:left="426" w:hanging="426"/>
        <w:jc w:val="both"/>
        <w:textAlignment w:val="auto"/>
        <w:rPr>
          <w:rFonts w:ascii="Calibri" w:hAnsi="Calibri"/>
          <w:bCs/>
          <w:i/>
          <w:iCs/>
          <w:sz w:val="24"/>
          <w:szCs w:val="24"/>
        </w:rPr>
      </w:pPr>
      <w:r w:rsidRPr="00CD2EB8">
        <w:rPr>
          <w:b/>
          <w:bCs/>
          <w:i/>
          <w:iCs/>
          <w:sz w:val="24"/>
          <w:szCs w:val="24"/>
        </w:rPr>
        <w:t>SA.45768 (2016/N)</w:t>
      </w:r>
      <w:r w:rsidRPr="00BD4871">
        <w:rPr>
          <w:bCs/>
          <w:i/>
          <w:iCs/>
          <w:sz w:val="24"/>
          <w:szCs w:val="24"/>
        </w:rPr>
        <w:t xml:space="preserve"> ze dne 7. března 2017 – Česká republika - Podpora výroby elektrické energie ve vysokoúčinných zařízeních na kombinovanou výrobu elektřiny a tepla uvedených do provozu po 1. lednu 2016 </w:t>
      </w:r>
    </w:p>
    <w:p w14:paraId="1AB8EED9" w14:textId="72AAF0F9" w:rsidR="00BD4871" w:rsidRDefault="00BD4871" w:rsidP="00BD4871">
      <w:pPr>
        <w:jc w:val="both"/>
        <w:rPr>
          <w:sz w:val="24"/>
          <w:szCs w:val="24"/>
        </w:rPr>
      </w:pPr>
      <w:r w:rsidRPr="00803792">
        <w:rPr>
          <w:sz w:val="24"/>
          <w:szCs w:val="24"/>
        </w:rPr>
        <w:t>V brzké době se očekává také vydání rozhodnutí Evropské komise ke druhé části podpory elektřiny z kombinované výroby elektřiny a tepla:</w:t>
      </w:r>
    </w:p>
    <w:p w14:paraId="058C41EF" w14:textId="77777777" w:rsidR="00803792" w:rsidRPr="00803792" w:rsidRDefault="00803792" w:rsidP="00BD4871">
      <w:pPr>
        <w:jc w:val="both"/>
        <w:rPr>
          <w:sz w:val="24"/>
          <w:szCs w:val="24"/>
        </w:rPr>
      </w:pPr>
    </w:p>
    <w:p w14:paraId="6B4357C1" w14:textId="27A929C3" w:rsidR="00BD4871" w:rsidRPr="00BD4871" w:rsidRDefault="00BD4871" w:rsidP="000B4301">
      <w:pPr>
        <w:pStyle w:val="Odstavecseseznamem"/>
        <w:numPr>
          <w:ilvl w:val="0"/>
          <w:numId w:val="25"/>
        </w:numPr>
        <w:overflowPunct/>
        <w:autoSpaceDE/>
        <w:autoSpaceDN/>
        <w:adjustRightInd/>
        <w:spacing w:after="0" w:line="240" w:lineRule="auto"/>
        <w:ind w:left="426" w:hanging="426"/>
        <w:contextualSpacing w:val="0"/>
        <w:jc w:val="both"/>
        <w:textAlignment w:val="auto"/>
        <w:rPr>
          <w:bCs/>
          <w:i/>
          <w:sz w:val="24"/>
          <w:szCs w:val="24"/>
        </w:rPr>
      </w:pPr>
      <w:r w:rsidRPr="00CD2EB8">
        <w:rPr>
          <w:b/>
          <w:bCs/>
          <w:i/>
          <w:sz w:val="24"/>
          <w:szCs w:val="24"/>
        </w:rPr>
        <w:t>SA.38701 (2014/NN)</w:t>
      </w:r>
      <w:r w:rsidRPr="00BD4871">
        <w:rPr>
          <w:bCs/>
          <w:i/>
          <w:sz w:val="24"/>
          <w:szCs w:val="24"/>
        </w:rPr>
        <w:t xml:space="preserve"> Podpora výroby elektřiny z KVET uvedených do provozu od 1.1.2013-31.12.2015 a výroba tepla z</w:t>
      </w:r>
      <w:r>
        <w:rPr>
          <w:bCs/>
          <w:i/>
          <w:sz w:val="24"/>
          <w:szCs w:val="24"/>
        </w:rPr>
        <w:t> </w:t>
      </w:r>
      <w:r w:rsidRPr="00BD4871">
        <w:rPr>
          <w:bCs/>
          <w:i/>
          <w:sz w:val="24"/>
          <w:szCs w:val="24"/>
        </w:rPr>
        <w:t>OZE</w:t>
      </w:r>
      <w:r>
        <w:rPr>
          <w:bCs/>
          <w:i/>
          <w:sz w:val="24"/>
          <w:szCs w:val="24"/>
        </w:rPr>
        <w:t>.</w:t>
      </w:r>
    </w:p>
    <w:p w14:paraId="7EE52B0F" w14:textId="77777777" w:rsidR="00BD4871" w:rsidRDefault="00BD4871" w:rsidP="004713EF">
      <w:pPr>
        <w:pStyle w:val="Odstavecseseznamem"/>
        <w:spacing w:before="100" w:beforeAutospacing="1" w:after="100" w:afterAutospacing="1" w:line="276" w:lineRule="auto"/>
        <w:ind w:left="0"/>
        <w:jc w:val="both"/>
        <w:rPr>
          <w:rFonts w:eastAsia="TimesNewRoman" w:cs="TimesNewRoman"/>
          <w:i/>
          <w:sz w:val="24"/>
          <w:szCs w:val="24"/>
        </w:rPr>
      </w:pPr>
    </w:p>
    <w:p w14:paraId="0CC34A15" w14:textId="002D4136" w:rsidR="007E4BF3" w:rsidRDefault="00745B60" w:rsidP="004713EF">
      <w:pPr>
        <w:pStyle w:val="Textkomente"/>
        <w:spacing w:before="100" w:beforeAutospacing="1" w:after="100" w:afterAutospacing="1" w:line="276" w:lineRule="auto"/>
        <w:jc w:val="both"/>
        <w:rPr>
          <w:rFonts w:eastAsiaTheme="minorHAnsi"/>
          <w:sz w:val="24"/>
          <w:szCs w:val="24"/>
        </w:rPr>
      </w:pPr>
      <w:r w:rsidRPr="00745B60">
        <w:rPr>
          <w:rFonts w:eastAsiaTheme="minorHAnsi"/>
          <w:sz w:val="24"/>
          <w:szCs w:val="24"/>
        </w:rPr>
        <w:t xml:space="preserve">V případě rozhodnutí </w:t>
      </w:r>
      <w:r w:rsidR="00BD4871">
        <w:rPr>
          <w:rFonts w:eastAsiaTheme="minorHAnsi"/>
          <w:sz w:val="24"/>
          <w:szCs w:val="24"/>
        </w:rPr>
        <w:t xml:space="preserve">Evropské komise </w:t>
      </w:r>
      <w:r w:rsidRPr="00745B60">
        <w:rPr>
          <w:rFonts w:eastAsiaTheme="minorHAnsi"/>
          <w:sz w:val="24"/>
          <w:szCs w:val="24"/>
        </w:rPr>
        <w:t xml:space="preserve">pro zdroje, kde poskytování podpory bylo aplikováno až po vyhlášení </w:t>
      </w:r>
      <w:r w:rsidR="007E4BF3">
        <w:rPr>
          <w:rFonts w:eastAsiaTheme="minorHAnsi"/>
          <w:sz w:val="24"/>
          <w:szCs w:val="24"/>
        </w:rPr>
        <w:t xml:space="preserve">slučitelnosti podpory </w:t>
      </w:r>
      <w:r w:rsidRPr="00745B60">
        <w:rPr>
          <w:rFonts w:eastAsiaTheme="minorHAnsi"/>
          <w:sz w:val="24"/>
          <w:szCs w:val="24"/>
        </w:rPr>
        <w:t>Evropskou komisí</w:t>
      </w:r>
      <w:r>
        <w:rPr>
          <w:rFonts w:eastAsiaTheme="minorHAnsi"/>
          <w:sz w:val="24"/>
          <w:szCs w:val="24"/>
        </w:rPr>
        <w:t xml:space="preserve"> (případy </w:t>
      </w:r>
      <w:r w:rsidR="003F414A">
        <w:rPr>
          <w:rFonts w:eastAsiaTheme="minorHAnsi"/>
          <w:sz w:val="24"/>
          <w:szCs w:val="24"/>
        </w:rPr>
        <w:t>3</w:t>
      </w:r>
      <w:r w:rsidR="006F6765">
        <w:rPr>
          <w:rFonts w:eastAsiaTheme="minorHAnsi"/>
          <w:sz w:val="24"/>
          <w:szCs w:val="24"/>
        </w:rPr>
        <w:t>,</w:t>
      </w:r>
      <w:r>
        <w:rPr>
          <w:rFonts w:eastAsiaTheme="minorHAnsi"/>
          <w:sz w:val="24"/>
          <w:szCs w:val="24"/>
        </w:rPr>
        <w:t xml:space="preserve"> </w:t>
      </w:r>
      <w:r w:rsidR="003F414A">
        <w:rPr>
          <w:rFonts w:eastAsiaTheme="minorHAnsi"/>
          <w:sz w:val="24"/>
          <w:szCs w:val="24"/>
        </w:rPr>
        <w:t>4</w:t>
      </w:r>
      <w:r w:rsidR="006F6765">
        <w:rPr>
          <w:rFonts w:eastAsiaTheme="minorHAnsi"/>
          <w:sz w:val="24"/>
          <w:szCs w:val="24"/>
        </w:rPr>
        <w:t xml:space="preserve"> a 5</w:t>
      </w:r>
      <w:r>
        <w:rPr>
          <w:rFonts w:eastAsiaTheme="minorHAnsi"/>
          <w:sz w:val="24"/>
          <w:szCs w:val="24"/>
        </w:rPr>
        <w:t xml:space="preserve">) jsou v těchto rozhodnutích </w:t>
      </w:r>
      <w:r w:rsidR="00BD4871">
        <w:rPr>
          <w:rFonts w:eastAsiaTheme="minorHAnsi"/>
          <w:sz w:val="24"/>
          <w:szCs w:val="24"/>
        </w:rPr>
        <w:t xml:space="preserve">Evropské komise </w:t>
      </w:r>
      <w:r w:rsidR="007E4BF3">
        <w:rPr>
          <w:rFonts w:eastAsiaTheme="minorHAnsi"/>
          <w:sz w:val="24"/>
          <w:szCs w:val="24"/>
        </w:rPr>
        <w:t xml:space="preserve">zavedeny opatření a podmínky pro nepřekompenzaci podpory. Jedná se o závazek poskytování </w:t>
      </w:r>
      <w:r w:rsidR="008D6E73">
        <w:rPr>
          <w:rFonts w:eastAsiaTheme="minorHAnsi"/>
          <w:sz w:val="24"/>
          <w:szCs w:val="24"/>
        </w:rPr>
        <w:t>pouze</w:t>
      </w:r>
      <w:r w:rsidR="007E4BF3">
        <w:rPr>
          <w:rFonts w:eastAsiaTheme="minorHAnsi"/>
          <w:sz w:val="24"/>
          <w:szCs w:val="24"/>
        </w:rPr>
        <w:t xml:space="preserve"> příslušné provozní podpory bez dalších </w:t>
      </w:r>
      <w:r w:rsidR="007E4BF3">
        <w:rPr>
          <w:rFonts w:eastAsiaTheme="minorHAnsi"/>
          <w:sz w:val="24"/>
          <w:szCs w:val="24"/>
        </w:rPr>
        <w:lastRenderedPageBreak/>
        <w:t xml:space="preserve">druhů provozních podpor anebo o závazek, že při poskytnutí investiční podpory (jelikož toto umožňuje současná legislativa ČR) bude aplikován na provozní podporu </w:t>
      </w:r>
      <w:r w:rsidR="008D6E73">
        <w:rPr>
          <w:rFonts w:eastAsiaTheme="minorHAnsi"/>
          <w:sz w:val="24"/>
          <w:szCs w:val="24"/>
        </w:rPr>
        <w:t xml:space="preserve">elektřiny z OZE </w:t>
      </w:r>
      <w:r w:rsidR="00593AAF">
        <w:rPr>
          <w:rFonts w:eastAsiaTheme="minorHAnsi"/>
          <w:sz w:val="24"/>
          <w:szCs w:val="24"/>
        </w:rPr>
        <w:t xml:space="preserve">(případně </w:t>
      </w:r>
      <w:r w:rsidR="000A5DB5">
        <w:rPr>
          <w:rFonts w:eastAsiaTheme="minorHAnsi"/>
          <w:sz w:val="24"/>
          <w:szCs w:val="24"/>
        </w:rPr>
        <w:t xml:space="preserve">provozní podporu </w:t>
      </w:r>
      <w:r w:rsidR="00593AAF">
        <w:rPr>
          <w:rFonts w:eastAsiaTheme="minorHAnsi"/>
          <w:sz w:val="24"/>
          <w:szCs w:val="24"/>
        </w:rPr>
        <w:t xml:space="preserve">elektřiny z KVET) </w:t>
      </w:r>
      <w:r w:rsidR="007E4BF3">
        <w:rPr>
          <w:rFonts w:eastAsiaTheme="minorHAnsi"/>
          <w:sz w:val="24"/>
          <w:szCs w:val="24"/>
        </w:rPr>
        <w:t>tzv. odečítací</w:t>
      </w:r>
      <w:r w:rsidR="008D6E73">
        <w:rPr>
          <w:rFonts w:eastAsiaTheme="minorHAnsi"/>
          <w:sz w:val="24"/>
          <w:szCs w:val="24"/>
        </w:rPr>
        <w:t xml:space="preserve"> vzoreček, který</w:t>
      </w:r>
      <w:r w:rsidR="007E4BF3">
        <w:rPr>
          <w:rFonts w:eastAsiaTheme="minorHAnsi"/>
          <w:sz w:val="24"/>
          <w:szCs w:val="24"/>
        </w:rPr>
        <w:t xml:space="preserve"> bude výši provozní podpory snižovat o udělenou výši investiční podpory. Jelikož nastavení výše provozní podpory</w:t>
      </w:r>
      <w:r w:rsidR="008D6E73">
        <w:rPr>
          <w:rFonts w:eastAsiaTheme="minorHAnsi"/>
          <w:sz w:val="24"/>
          <w:szCs w:val="24"/>
        </w:rPr>
        <w:t xml:space="preserve"> elektřiny z</w:t>
      </w:r>
      <w:r w:rsidR="00593AAF">
        <w:rPr>
          <w:rFonts w:eastAsiaTheme="minorHAnsi"/>
          <w:sz w:val="24"/>
          <w:szCs w:val="24"/>
        </w:rPr>
        <w:t> </w:t>
      </w:r>
      <w:r w:rsidR="008D6E73">
        <w:rPr>
          <w:rFonts w:eastAsiaTheme="minorHAnsi"/>
          <w:sz w:val="24"/>
          <w:szCs w:val="24"/>
        </w:rPr>
        <w:t>OZE</w:t>
      </w:r>
      <w:r w:rsidR="00593AAF">
        <w:rPr>
          <w:rFonts w:eastAsiaTheme="minorHAnsi"/>
          <w:sz w:val="24"/>
          <w:szCs w:val="24"/>
        </w:rPr>
        <w:t xml:space="preserve"> (a provozní podpory elektřiny z KVET)</w:t>
      </w:r>
      <w:r w:rsidR="007E4BF3">
        <w:rPr>
          <w:rFonts w:eastAsiaTheme="minorHAnsi"/>
          <w:sz w:val="24"/>
          <w:szCs w:val="24"/>
        </w:rPr>
        <w:t>, po</w:t>
      </w:r>
      <w:r w:rsidR="008D6E73">
        <w:rPr>
          <w:rFonts w:eastAsiaTheme="minorHAnsi"/>
          <w:sz w:val="24"/>
          <w:szCs w:val="24"/>
        </w:rPr>
        <w:t>dle</w:t>
      </w:r>
      <w:r w:rsidR="007E4BF3">
        <w:rPr>
          <w:rFonts w:eastAsiaTheme="minorHAnsi"/>
          <w:sz w:val="24"/>
          <w:szCs w:val="24"/>
        </w:rPr>
        <w:t xml:space="preserve"> zmíněných principů a pravidel je již aplikováno a zajištěno prostřednictvím cenových rozhodnutích</w:t>
      </w:r>
      <w:r w:rsidR="008D6E73">
        <w:rPr>
          <w:rFonts w:eastAsiaTheme="minorHAnsi"/>
          <w:sz w:val="24"/>
          <w:szCs w:val="24"/>
        </w:rPr>
        <w:t xml:space="preserve"> ERÚ před poskytováním podpory</w:t>
      </w:r>
      <w:r w:rsidR="007E4BF3">
        <w:rPr>
          <w:rFonts w:eastAsiaTheme="minorHAnsi"/>
          <w:sz w:val="24"/>
          <w:szCs w:val="24"/>
        </w:rPr>
        <w:t xml:space="preserve">, a tedy není možné, aby docházelo </w:t>
      </w:r>
      <w:r w:rsidR="00CF74A1">
        <w:rPr>
          <w:rFonts w:eastAsiaTheme="minorHAnsi"/>
          <w:sz w:val="24"/>
          <w:szCs w:val="24"/>
        </w:rPr>
        <w:t xml:space="preserve">v rámci nastavování podpory </w:t>
      </w:r>
      <w:r w:rsidR="007E4BF3">
        <w:rPr>
          <w:rFonts w:eastAsiaTheme="minorHAnsi"/>
          <w:sz w:val="24"/>
          <w:szCs w:val="24"/>
        </w:rPr>
        <w:t xml:space="preserve">k překompenzaci poskytované podpory, nebude se těmito závazky </w:t>
      </w:r>
      <w:r w:rsidR="00777AA3">
        <w:rPr>
          <w:rFonts w:eastAsiaTheme="minorHAnsi"/>
          <w:sz w:val="24"/>
          <w:szCs w:val="24"/>
        </w:rPr>
        <w:t xml:space="preserve">(vyjma jejich textového uvedení níže v této kapitole pro učinění </w:t>
      </w:r>
      <w:r w:rsidR="00AC6458">
        <w:rPr>
          <w:rFonts w:eastAsiaTheme="minorHAnsi"/>
          <w:sz w:val="24"/>
          <w:szCs w:val="24"/>
        </w:rPr>
        <w:t xml:space="preserve">komplexní </w:t>
      </w:r>
      <w:r w:rsidR="00777AA3">
        <w:rPr>
          <w:rFonts w:eastAsiaTheme="minorHAnsi"/>
          <w:sz w:val="24"/>
          <w:szCs w:val="24"/>
        </w:rPr>
        <w:t xml:space="preserve">přehlednosti v této záležitosti) </w:t>
      </w:r>
      <w:r w:rsidR="007E4BF3">
        <w:rPr>
          <w:rFonts w:eastAsiaTheme="minorHAnsi"/>
          <w:sz w:val="24"/>
          <w:szCs w:val="24"/>
        </w:rPr>
        <w:t>a jejich a</w:t>
      </w:r>
      <w:r w:rsidR="00CF74A1">
        <w:rPr>
          <w:rFonts w:eastAsiaTheme="minorHAnsi"/>
          <w:sz w:val="24"/>
          <w:szCs w:val="24"/>
        </w:rPr>
        <w:t>plikací dále tento materiál zabý</w:t>
      </w:r>
      <w:r w:rsidR="007E4BF3">
        <w:rPr>
          <w:rFonts w:eastAsiaTheme="minorHAnsi"/>
          <w:sz w:val="24"/>
          <w:szCs w:val="24"/>
        </w:rPr>
        <w:t>vat.</w:t>
      </w:r>
    </w:p>
    <w:p w14:paraId="1DA14C79" w14:textId="734E8030" w:rsidR="007E4BF3" w:rsidRPr="000328CD" w:rsidRDefault="007E4BF3" w:rsidP="004713EF">
      <w:pPr>
        <w:spacing w:before="100" w:beforeAutospacing="1" w:after="100" w:afterAutospacing="1" w:line="276" w:lineRule="auto"/>
        <w:jc w:val="both"/>
        <w:rPr>
          <w:rFonts w:eastAsia="ArialMT" w:cs="ArialMT"/>
          <w:sz w:val="24"/>
          <w:szCs w:val="24"/>
        </w:rPr>
      </w:pPr>
      <w:r>
        <w:rPr>
          <w:rFonts w:eastAsia="ArialMT" w:cs="ArialMT"/>
          <w:sz w:val="24"/>
          <w:szCs w:val="24"/>
        </w:rPr>
        <w:t xml:space="preserve">V případě rozhodnutí </w:t>
      </w:r>
      <w:r w:rsidR="00BD4871">
        <w:rPr>
          <w:rFonts w:eastAsia="ArialMT" w:cs="ArialMT"/>
          <w:sz w:val="24"/>
          <w:szCs w:val="24"/>
        </w:rPr>
        <w:t xml:space="preserve">Evropské komise </w:t>
      </w:r>
      <w:r>
        <w:rPr>
          <w:rFonts w:eastAsia="ArialMT" w:cs="ArialMT"/>
          <w:sz w:val="24"/>
          <w:szCs w:val="24"/>
        </w:rPr>
        <w:t xml:space="preserve">pro zdroje, kde poskytování podpory </w:t>
      </w:r>
      <w:r w:rsidR="00656330">
        <w:rPr>
          <w:rFonts w:eastAsia="ArialMT" w:cs="ArialMT"/>
          <w:sz w:val="24"/>
          <w:szCs w:val="24"/>
        </w:rPr>
        <w:t>bylo zahájeno před vydáním rozhodnutí Evropské komise</w:t>
      </w:r>
      <w:r>
        <w:rPr>
          <w:rFonts w:eastAsia="ArialMT" w:cs="ArialMT"/>
          <w:sz w:val="24"/>
          <w:szCs w:val="24"/>
        </w:rPr>
        <w:t xml:space="preserve"> (případy </w:t>
      </w:r>
      <w:r w:rsidR="003F414A">
        <w:rPr>
          <w:rFonts w:eastAsia="ArialMT" w:cs="ArialMT"/>
          <w:sz w:val="24"/>
          <w:szCs w:val="24"/>
        </w:rPr>
        <w:t xml:space="preserve">1 </w:t>
      </w:r>
      <w:r>
        <w:rPr>
          <w:rFonts w:eastAsia="ArialMT" w:cs="ArialMT"/>
          <w:sz w:val="24"/>
          <w:szCs w:val="24"/>
        </w:rPr>
        <w:t xml:space="preserve">a </w:t>
      </w:r>
      <w:r w:rsidR="003F414A">
        <w:rPr>
          <w:rFonts w:eastAsia="ArialMT" w:cs="ArialMT"/>
          <w:sz w:val="24"/>
          <w:szCs w:val="24"/>
        </w:rPr>
        <w:t>2</w:t>
      </w:r>
      <w:r>
        <w:rPr>
          <w:rFonts w:eastAsia="ArialMT" w:cs="ArialMT"/>
          <w:sz w:val="24"/>
          <w:szCs w:val="24"/>
        </w:rPr>
        <w:t xml:space="preserve">) jsou </w:t>
      </w:r>
      <w:r w:rsidR="00A109B8">
        <w:rPr>
          <w:rFonts w:eastAsia="ArialMT" w:cs="ArialMT"/>
          <w:sz w:val="24"/>
          <w:szCs w:val="24"/>
        </w:rPr>
        <w:t>z</w:t>
      </w:r>
      <w:r w:rsidRPr="000328CD">
        <w:rPr>
          <w:rFonts w:eastAsia="ArialMT" w:cs="ArialMT"/>
          <w:sz w:val="24"/>
          <w:szCs w:val="24"/>
        </w:rPr>
        <w:t xml:space="preserve"> pohledu efektivního vyplácení </w:t>
      </w:r>
      <w:r w:rsidR="00A109B8">
        <w:rPr>
          <w:rFonts w:eastAsia="ArialMT" w:cs="ArialMT"/>
          <w:sz w:val="24"/>
          <w:szCs w:val="24"/>
        </w:rPr>
        <w:t>podpor</w:t>
      </w:r>
      <w:r w:rsidRPr="000328CD">
        <w:rPr>
          <w:rFonts w:eastAsia="ArialMT" w:cs="ArialMT"/>
          <w:sz w:val="24"/>
          <w:szCs w:val="24"/>
        </w:rPr>
        <w:t xml:space="preserve"> v  rozhodnutích</w:t>
      </w:r>
      <w:r w:rsidR="00BD4871">
        <w:rPr>
          <w:rFonts w:eastAsia="ArialMT" w:cs="ArialMT"/>
          <w:sz w:val="24"/>
          <w:szCs w:val="24"/>
        </w:rPr>
        <w:t xml:space="preserve"> Evropské komise</w:t>
      </w:r>
      <w:r w:rsidRPr="000328CD">
        <w:rPr>
          <w:rFonts w:eastAsia="ArialMT" w:cs="ArialMT"/>
          <w:sz w:val="24"/>
          <w:szCs w:val="24"/>
        </w:rPr>
        <w:t xml:space="preserve"> </w:t>
      </w:r>
      <w:r w:rsidR="00656330">
        <w:rPr>
          <w:rFonts w:eastAsia="ArialMT" w:cs="ArialMT"/>
          <w:sz w:val="24"/>
          <w:szCs w:val="24"/>
        </w:rPr>
        <w:t xml:space="preserve">zavedeny </w:t>
      </w:r>
      <w:r w:rsidRPr="000328CD">
        <w:rPr>
          <w:rFonts w:eastAsia="ArialMT" w:cs="ArialMT"/>
          <w:sz w:val="24"/>
          <w:szCs w:val="24"/>
        </w:rPr>
        <w:t xml:space="preserve">závazky na </w:t>
      </w:r>
      <w:r w:rsidR="00656330">
        <w:rPr>
          <w:rFonts w:eastAsia="ArialMT" w:cs="ArialMT"/>
          <w:sz w:val="24"/>
          <w:szCs w:val="24"/>
        </w:rPr>
        <w:t xml:space="preserve">mechanismus </w:t>
      </w:r>
      <w:r w:rsidR="00777AA3">
        <w:rPr>
          <w:rFonts w:eastAsia="ArialMT" w:cs="ArialMT"/>
          <w:sz w:val="24"/>
          <w:szCs w:val="24"/>
        </w:rPr>
        <w:t xml:space="preserve">kontroly přiměřenosti </w:t>
      </w:r>
      <w:r w:rsidRPr="000328CD">
        <w:rPr>
          <w:rFonts w:eastAsia="ArialMT" w:cs="ArialMT"/>
          <w:sz w:val="24"/>
          <w:szCs w:val="24"/>
        </w:rPr>
        <w:t>podpory v souvislosti s kumulací více druhů podpor pro jednu výrobnu elektřiny</w:t>
      </w:r>
      <w:r w:rsidR="00A109B8">
        <w:rPr>
          <w:rFonts w:eastAsia="ArialMT" w:cs="ArialMT"/>
          <w:sz w:val="24"/>
          <w:szCs w:val="24"/>
        </w:rPr>
        <w:t xml:space="preserve"> (</w:t>
      </w:r>
      <w:r w:rsidRPr="000328CD">
        <w:rPr>
          <w:rFonts w:eastAsia="ArialMT" w:cs="ArialMT"/>
          <w:sz w:val="24"/>
          <w:szCs w:val="24"/>
        </w:rPr>
        <w:t xml:space="preserve">závazky uvedené v  rozhodnutí </w:t>
      </w:r>
      <w:r w:rsidR="00BD4871">
        <w:rPr>
          <w:rFonts w:eastAsia="ArialMT" w:cs="ArialMT"/>
          <w:sz w:val="24"/>
          <w:szCs w:val="24"/>
        </w:rPr>
        <w:t xml:space="preserve">Evropské komise </w:t>
      </w:r>
      <w:r w:rsidRPr="000328CD">
        <w:rPr>
          <w:rFonts w:eastAsia="ArialMT" w:cs="ArialMT"/>
          <w:sz w:val="24"/>
          <w:szCs w:val="24"/>
        </w:rPr>
        <w:t>SA. 40171 určené pro OZE uvedené do provozu od 1. ledna 2006 do 31. prosince 2012 a v rozhodnutí pro SA. 35177 určené pro OZE uvedené do provozu od 1. ledna 2006 do 31. prosince 2012</w:t>
      </w:r>
      <w:r w:rsidR="00A109B8">
        <w:rPr>
          <w:rFonts w:eastAsia="ArialMT" w:cs="ArialMT"/>
          <w:sz w:val="24"/>
          <w:szCs w:val="24"/>
        </w:rPr>
        <w:t>).</w:t>
      </w:r>
    </w:p>
    <w:p w14:paraId="1480B5BA" w14:textId="2598ABF2" w:rsidR="00745B60" w:rsidRPr="00745B60" w:rsidRDefault="00A109B8" w:rsidP="004713EF">
      <w:pPr>
        <w:pStyle w:val="Textkomente"/>
        <w:spacing w:before="100" w:beforeAutospacing="1" w:after="100" w:afterAutospacing="1" w:line="276" w:lineRule="auto"/>
        <w:jc w:val="both"/>
        <w:rPr>
          <w:sz w:val="24"/>
          <w:szCs w:val="24"/>
        </w:rPr>
      </w:pPr>
      <w:r>
        <w:rPr>
          <w:rFonts w:eastAsiaTheme="minorHAnsi"/>
          <w:sz w:val="24"/>
          <w:szCs w:val="24"/>
        </w:rPr>
        <w:t>Jelikož jsou závazky na zajištění nepřekompenzace podpory zavedeny ve všech vydaných rozhodnutích</w:t>
      </w:r>
      <w:r w:rsidR="008D6E73">
        <w:rPr>
          <w:rFonts w:eastAsiaTheme="minorHAnsi"/>
          <w:sz w:val="24"/>
          <w:szCs w:val="24"/>
        </w:rPr>
        <w:t xml:space="preserve"> </w:t>
      </w:r>
      <w:r w:rsidR="00BD4871">
        <w:rPr>
          <w:rFonts w:eastAsiaTheme="minorHAnsi"/>
          <w:sz w:val="24"/>
          <w:szCs w:val="24"/>
        </w:rPr>
        <w:t xml:space="preserve">Evropské komise </w:t>
      </w:r>
      <w:r w:rsidR="008D6E73">
        <w:rPr>
          <w:rFonts w:eastAsiaTheme="minorHAnsi"/>
          <w:sz w:val="24"/>
          <w:szCs w:val="24"/>
        </w:rPr>
        <w:t xml:space="preserve">(případy 1 až </w:t>
      </w:r>
      <w:r w:rsidR="00777AA3">
        <w:rPr>
          <w:rFonts w:eastAsiaTheme="minorHAnsi"/>
          <w:sz w:val="24"/>
          <w:szCs w:val="24"/>
        </w:rPr>
        <w:t>5</w:t>
      </w:r>
      <w:r w:rsidR="008D6E73">
        <w:rPr>
          <w:rFonts w:eastAsiaTheme="minorHAnsi"/>
          <w:sz w:val="24"/>
          <w:szCs w:val="24"/>
        </w:rPr>
        <w:t>)</w:t>
      </w:r>
      <w:r>
        <w:rPr>
          <w:rFonts w:eastAsiaTheme="minorHAnsi"/>
          <w:sz w:val="24"/>
          <w:szCs w:val="24"/>
        </w:rPr>
        <w:t xml:space="preserve">, </w:t>
      </w:r>
      <w:r w:rsidR="008D6E73">
        <w:rPr>
          <w:rFonts w:eastAsiaTheme="minorHAnsi"/>
          <w:sz w:val="24"/>
          <w:szCs w:val="24"/>
        </w:rPr>
        <w:t>s rozlišením podle situace, zda podpora byla poskytována před anebo až po vydání rozhodnutí</w:t>
      </w:r>
      <w:r w:rsidR="00BD4871">
        <w:rPr>
          <w:rFonts w:eastAsiaTheme="minorHAnsi"/>
          <w:sz w:val="24"/>
          <w:szCs w:val="24"/>
        </w:rPr>
        <w:t xml:space="preserve"> Evropské komise</w:t>
      </w:r>
      <w:r>
        <w:rPr>
          <w:rFonts w:eastAsiaTheme="minorHAnsi"/>
          <w:sz w:val="24"/>
          <w:szCs w:val="24"/>
        </w:rPr>
        <w:t>, je možné toto považovat za</w:t>
      </w:r>
      <w:r w:rsidR="00745B60" w:rsidRPr="00745B60">
        <w:rPr>
          <w:sz w:val="24"/>
          <w:szCs w:val="24"/>
        </w:rPr>
        <w:t xml:space="preserve"> nediskriminační</w:t>
      </w:r>
      <w:r>
        <w:rPr>
          <w:sz w:val="24"/>
          <w:szCs w:val="24"/>
        </w:rPr>
        <w:t xml:space="preserve"> přístup.</w:t>
      </w:r>
    </w:p>
    <w:p w14:paraId="2E79CEB9" w14:textId="632B71AF" w:rsidR="00AC6458" w:rsidRPr="00C07DEA" w:rsidRDefault="00145A10" w:rsidP="004713EF">
      <w:pPr>
        <w:pStyle w:val="Normlnweb"/>
        <w:spacing w:line="276" w:lineRule="auto"/>
        <w:jc w:val="both"/>
      </w:pPr>
      <w:r>
        <w:rPr>
          <w:rFonts w:asciiTheme="minorHAnsi" w:hAnsiTheme="minorHAnsi"/>
        </w:rPr>
        <w:t xml:space="preserve">Kritériem pro posuzování možné </w:t>
      </w:r>
      <w:r w:rsidR="0022612F">
        <w:rPr>
          <w:rFonts w:asciiTheme="minorHAnsi" w:hAnsiTheme="minorHAnsi"/>
        </w:rPr>
        <w:t>překompenzace</w:t>
      </w:r>
      <w:r w:rsidR="00DA4AE1">
        <w:rPr>
          <w:rFonts w:asciiTheme="minorHAnsi" w:hAnsiTheme="minorHAnsi"/>
        </w:rPr>
        <w:t xml:space="preserve"> </w:t>
      </w:r>
      <w:r w:rsidR="004616C5">
        <w:rPr>
          <w:rFonts w:asciiTheme="minorHAnsi" w:hAnsiTheme="minorHAnsi"/>
        </w:rPr>
        <w:t xml:space="preserve">u </w:t>
      </w:r>
      <w:r w:rsidR="0022612F">
        <w:rPr>
          <w:rFonts w:asciiTheme="minorHAnsi" w:hAnsiTheme="minorHAnsi"/>
        </w:rPr>
        <w:t>jednotlivých</w:t>
      </w:r>
      <w:r w:rsidR="004616C5">
        <w:rPr>
          <w:rFonts w:asciiTheme="minorHAnsi" w:hAnsiTheme="minorHAnsi"/>
        </w:rPr>
        <w:t xml:space="preserve"> druhů OZE</w:t>
      </w:r>
      <w:r w:rsidR="004616C5" w:rsidRPr="001F27C6">
        <w:rPr>
          <w:rFonts w:asciiTheme="minorHAnsi" w:hAnsiTheme="minorHAnsi"/>
        </w:rPr>
        <w:t xml:space="preserve"> </w:t>
      </w:r>
      <w:r w:rsidR="007E74C9">
        <w:rPr>
          <w:rFonts w:asciiTheme="minorHAnsi" w:hAnsiTheme="minorHAnsi"/>
        </w:rPr>
        <w:t xml:space="preserve">v řízení </w:t>
      </w:r>
      <w:r w:rsidR="007E74C9" w:rsidRPr="000B4301">
        <w:rPr>
          <w:rFonts w:asciiTheme="minorHAnsi" w:hAnsiTheme="minorHAnsi"/>
        </w:rPr>
        <w:t>SA.40171 (2015/NN)</w:t>
      </w:r>
      <w:r w:rsidR="007E74C9" w:rsidRPr="007E74C9">
        <w:rPr>
          <w:rFonts w:asciiTheme="minorHAnsi" w:hAnsiTheme="minorHAnsi"/>
        </w:rPr>
        <w:t xml:space="preserve"> </w:t>
      </w:r>
      <w:r w:rsidR="0022612F">
        <w:rPr>
          <w:rFonts w:asciiTheme="minorHAnsi" w:hAnsiTheme="minorHAnsi"/>
        </w:rPr>
        <w:t xml:space="preserve">je podle </w:t>
      </w:r>
      <w:r w:rsidR="00A652D7" w:rsidRPr="001F27C6">
        <w:rPr>
          <w:rFonts w:asciiTheme="minorHAnsi" w:hAnsiTheme="minorHAnsi"/>
        </w:rPr>
        <w:t>Evropsk</w:t>
      </w:r>
      <w:r w:rsidR="0022612F">
        <w:rPr>
          <w:rFonts w:asciiTheme="minorHAnsi" w:hAnsiTheme="minorHAnsi"/>
        </w:rPr>
        <w:t>é</w:t>
      </w:r>
      <w:r w:rsidR="00A652D7" w:rsidRPr="001F27C6">
        <w:rPr>
          <w:rFonts w:asciiTheme="minorHAnsi" w:hAnsiTheme="minorHAnsi"/>
        </w:rPr>
        <w:t xml:space="preserve"> komise</w:t>
      </w:r>
      <w:r w:rsidR="0022612F">
        <w:rPr>
          <w:rFonts w:asciiTheme="minorHAnsi" w:hAnsiTheme="minorHAnsi"/>
        </w:rPr>
        <w:t xml:space="preserve"> hodnota</w:t>
      </w:r>
      <w:r w:rsidR="00A652D7" w:rsidRPr="001F27C6">
        <w:rPr>
          <w:rFonts w:asciiTheme="minorHAnsi" w:hAnsiTheme="minorHAnsi"/>
        </w:rPr>
        <w:t xml:space="preserve"> vnitřního výnosového procenta (</w:t>
      </w:r>
      <w:r w:rsidR="001F27C6" w:rsidRPr="001F27C6">
        <w:rPr>
          <w:rFonts w:asciiTheme="minorHAnsi" w:hAnsiTheme="minorHAnsi"/>
        </w:rPr>
        <w:t>IRR).</w:t>
      </w:r>
      <w:r w:rsidR="004616C5">
        <w:rPr>
          <w:rFonts w:asciiTheme="minorHAnsi" w:hAnsiTheme="minorHAnsi"/>
        </w:rPr>
        <w:t xml:space="preserve"> Evropsk</w:t>
      </w:r>
      <w:r w:rsidR="00745B60">
        <w:rPr>
          <w:rFonts w:asciiTheme="minorHAnsi" w:hAnsiTheme="minorHAnsi"/>
        </w:rPr>
        <w:t>á</w:t>
      </w:r>
      <w:r w:rsidR="004616C5">
        <w:rPr>
          <w:rFonts w:asciiTheme="minorHAnsi" w:hAnsiTheme="minorHAnsi"/>
        </w:rPr>
        <w:t xml:space="preserve"> komise hodnoty IRR </w:t>
      </w:r>
      <w:r w:rsidR="00745B60">
        <w:rPr>
          <w:rFonts w:asciiTheme="minorHAnsi" w:hAnsiTheme="minorHAnsi"/>
        </w:rPr>
        <w:t xml:space="preserve">zavedla v případě ČR </w:t>
      </w:r>
      <w:r w:rsidR="00A109B8">
        <w:rPr>
          <w:rFonts w:asciiTheme="minorHAnsi" w:hAnsiTheme="minorHAnsi"/>
        </w:rPr>
        <w:t>do</w:t>
      </w:r>
      <w:r w:rsidR="0022612F">
        <w:rPr>
          <w:rFonts w:asciiTheme="minorHAnsi" w:hAnsiTheme="minorHAnsi"/>
        </w:rPr>
        <w:t xml:space="preserve"> </w:t>
      </w:r>
      <w:r w:rsidR="004616C5">
        <w:rPr>
          <w:rFonts w:asciiTheme="minorHAnsi" w:hAnsiTheme="minorHAnsi"/>
        </w:rPr>
        <w:t xml:space="preserve">rozhodnutí </w:t>
      </w:r>
      <w:r w:rsidR="00BD4871">
        <w:rPr>
          <w:rFonts w:asciiTheme="minorHAnsi" w:hAnsiTheme="minorHAnsi"/>
        </w:rPr>
        <w:t xml:space="preserve">Evropské komise </w:t>
      </w:r>
      <w:r w:rsidR="004616C5">
        <w:rPr>
          <w:rFonts w:asciiTheme="minorHAnsi" w:hAnsiTheme="minorHAnsi"/>
        </w:rPr>
        <w:t xml:space="preserve">a </w:t>
      </w:r>
      <w:r w:rsidR="008D6E73">
        <w:rPr>
          <w:rFonts w:asciiTheme="minorHAnsi" w:hAnsiTheme="minorHAnsi"/>
        </w:rPr>
        <w:t xml:space="preserve">přímo </w:t>
      </w:r>
      <w:r w:rsidR="004616C5">
        <w:rPr>
          <w:rFonts w:asciiTheme="minorHAnsi" w:hAnsiTheme="minorHAnsi"/>
        </w:rPr>
        <w:t xml:space="preserve">zakomponovala tyto hodnoty do </w:t>
      </w:r>
      <w:r w:rsidR="001D0305">
        <w:rPr>
          <w:rFonts w:asciiTheme="minorHAnsi" w:hAnsiTheme="minorHAnsi"/>
        </w:rPr>
        <w:t xml:space="preserve">závazku </w:t>
      </w:r>
      <w:r w:rsidR="004616C5">
        <w:rPr>
          <w:rFonts w:asciiTheme="minorHAnsi" w:hAnsiTheme="minorHAnsi"/>
        </w:rPr>
        <w:t xml:space="preserve">mechanismu </w:t>
      </w:r>
      <w:r w:rsidR="00777AA3">
        <w:rPr>
          <w:rFonts w:asciiTheme="minorHAnsi" w:hAnsiTheme="minorHAnsi"/>
        </w:rPr>
        <w:t xml:space="preserve">kontroly </w:t>
      </w:r>
      <w:r w:rsidR="004616C5">
        <w:rPr>
          <w:rFonts w:asciiTheme="minorHAnsi" w:hAnsiTheme="minorHAnsi"/>
        </w:rPr>
        <w:t>přiměřenosti podpory.</w:t>
      </w:r>
      <w:r w:rsidR="00E52C17">
        <w:rPr>
          <w:rFonts w:asciiTheme="minorHAnsi" w:hAnsiTheme="minorHAnsi"/>
        </w:rPr>
        <w:t xml:space="preserve"> </w:t>
      </w:r>
      <w:r w:rsidR="007E74C9" w:rsidRPr="000B4301">
        <w:rPr>
          <w:rStyle w:val="Odkaznakoment"/>
          <w:rFonts w:asciiTheme="minorHAnsi" w:hAnsiTheme="minorHAnsi"/>
          <w:sz w:val="24"/>
          <w:szCs w:val="24"/>
        </w:rPr>
        <w:t>V rozhodnutí</w:t>
      </w:r>
      <w:r w:rsidR="007E74C9" w:rsidRPr="000B4301">
        <w:rPr>
          <w:rFonts w:asciiTheme="minorHAnsi" w:hAnsiTheme="minorHAnsi"/>
        </w:rPr>
        <w:t xml:space="preserve"> </w:t>
      </w:r>
      <w:r w:rsidR="007E74C9" w:rsidRPr="000B4301">
        <w:rPr>
          <w:rFonts w:asciiTheme="minorHAnsi" w:hAnsiTheme="minorHAnsi" w:cstheme="minorHAnsi"/>
        </w:rPr>
        <w:t>SA.35177 (2014/NN)</w:t>
      </w:r>
      <w:r w:rsidR="007E74C9" w:rsidRPr="000B4301">
        <w:rPr>
          <w:rFonts w:asciiTheme="minorHAnsi" w:hAnsiTheme="minorHAnsi"/>
        </w:rPr>
        <w:t xml:space="preserve"> je kritériem nepřekompenzace doba návratnosti</w:t>
      </w:r>
      <w:r w:rsidR="007E74C9">
        <w:rPr>
          <w:rFonts w:asciiTheme="minorHAnsi" w:hAnsiTheme="minorHAnsi"/>
        </w:rPr>
        <w:t xml:space="preserve"> zavedená v zákoně č. 165/2012 Sb., která je </w:t>
      </w:r>
      <w:r w:rsidR="007E74C9" w:rsidRPr="000B4301">
        <w:rPr>
          <w:rFonts w:asciiTheme="minorHAnsi" w:hAnsiTheme="minorHAnsi"/>
        </w:rPr>
        <w:t xml:space="preserve"> 15 let.</w:t>
      </w:r>
    </w:p>
    <w:p w14:paraId="3F1C08EA" w14:textId="77777777" w:rsidR="004713EF" w:rsidRDefault="004713EF" w:rsidP="00307649">
      <w:pPr>
        <w:pStyle w:val="Normlnweb"/>
        <w:spacing w:before="0" w:beforeAutospacing="0" w:after="0" w:afterAutospacing="0"/>
        <w:jc w:val="both"/>
        <w:rPr>
          <w:rFonts w:asciiTheme="minorHAnsi" w:hAnsiTheme="minorHAnsi"/>
        </w:rPr>
      </w:pPr>
    </w:p>
    <w:p w14:paraId="39F8AFD0" w14:textId="77777777" w:rsidR="00C07DEA" w:rsidRDefault="00C07DEA" w:rsidP="00307649">
      <w:pPr>
        <w:pStyle w:val="Normlnweb"/>
        <w:spacing w:before="0" w:beforeAutospacing="0" w:after="0" w:afterAutospacing="0"/>
        <w:jc w:val="both"/>
        <w:rPr>
          <w:rFonts w:asciiTheme="minorHAnsi" w:hAnsiTheme="minorHAnsi"/>
        </w:rPr>
      </w:pPr>
    </w:p>
    <w:p w14:paraId="15CAE7C4" w14:textId="77777777" w:rsidR="00C07DEA" w:rsidRDefault="00C07DEA" w:rsidP="00307649">
      <w:pPr>
        <w:pStyle w:val="Normlnweb"/>
        <w:spacing w:before="0" w:beforeAutospacing="0" w:after="0" w:afterAutospacing="0"/>
        <w:jc w:val="both"/>
        <w:rPr>
          <w:rFonts w:asciiTheme="minorHAnsi" w:hAnsiTheme="minorHAnsi"/>
        </w:rPr>
      </w:pPr>
    </w:p>
    <w:p w14:paraId="2429FB35" w14:textId="77777777" w:rsidR="00C07DEA" w:rsidRDefault="00C07DEA" w:rsidP="00307649">
      <w:pPr>
        <w:pStyle w:val="Normlnweb"/>
        <w:spacing w:before="0" w:beforeAutospacing="0" w:after="0" w:afterAutospacing="0"/>
        <w:jc w:val="both"/>
        <w:rPr>
          <w:rFonts w:asciiTheme="minorHAnsi" w:hAnsiTheme="minorHAnsi"/>
        </w:rPr>
      </w:pPr>
    </w:p>
    <w:p w14:paraId="2F2771CB" w14:textId="77777777" w:rsidR="00C07DEA" w:rsidRDefault="00C07DEA" w:rsidP="00307649">
      <w:pPr>
        <w:pStyle w:val="Normlnweb"/>
        <w:spacing w:before="0" w:beforeAutospacing="0" w:after="0" w:afterAutospacing="0"/>
        <w:jc w:val="both"/>
        <w:rPr>
          <w:rFonts w:asciiTheme="minorHAnsi" w:hAnsiTheme="minorHAnsi"/>
        </w:rPr>
      </w:pPr>
    </w:p>
    <w:p w14:paraId="17453FA2" w14:textId="77777777" w:rsidR="00C07DEA" w:rsidRDefault="00C07DEA" w:rsidP="00307649">
      <w:pPr>
        <w:pStyle w:val="Normlnweb"/>
        <w:spacing w:before="0" w:beforeAutospacing="0" w:after="0" w:afterAutospacing="0"/>
        <w:jc w:val="both"/>
        <w:rPr>
          <w:rFonts w:asciiTheme="minorHAnsi" w:hAnsiTheme="minorHAnsi"/>
        </w:rPr>
      </w:pPr>
    </w:p>
    <w:p w14:paraId="56A6D6E2" w14:textId="77777777" w:rsidR="00C07DEA" w:rsidRDefault="00C07DEA" w:rsidP="00307649">
      <w:pPr>
        <w:pStyle w:val="Normlnweb"/>
        <w:spacing w:before="0" w:beforeAutospacing="0" w:after="0" w:afterAutospacing="0"/>
        <w:jc w:val="both"/>
        <w:rPr>
          <w:rFonts w:asciiTheme="minorHAnsi" w:hAnsiTheme="minorHAnsi"/>
        </w:rPr>
      </w:pPr>
    </w:p>
    <w:p w14:paraId="598E7C4F" w14:textId="77777777" w:rsidR="00C07DEA" w:rsidRDefault="00C07DEA" w:rsidP="00307649">
      <w:pPr>
        <w:pStyle w:val="Normlnweb"/>
        <w:spacing w:before="0" w:beforeAutospacing="0" w:after="0" w:afterAutospacing="0"/>
        <w:jc w:val="both"/>
        <w:rPr>
          <w:rFonts w:asciiTheme="minorHAnsi" w:hAnsiTheme="minorHAnsi"/>
        </w:rPr>
      </w:pPr>
    </w:p>
    <w:p w14:paraId="4A43C53B" w14:textId="77777777" w:rsidR="00C07DEA" w:rsidRDefault="00C07DEA" w:rsidP="00307649">
      <w:pPr>
        <w:pStyle w:val="Normlnweb"/>
        <w:spacing w:before="0" w:beforeAutospacing="0" w:after="0" w:afterAutospacing="0"/>
        <w:jc w:val="both"/>
        <w:rPr>
          <w:rFonts w:asciiTheme="minorHAnsi" w:hAnsiTheme="minorHAnsi"/>
        </w:rPr>
      </w:pPr>
    </w:p>
    <w:p w14:paraId="24F23CCE" w14:textId="77777777" w:rsidR="00C07DEA" w:rsidRDefault="00C07DEA" w:rsidP="00307649">
      <w:pPr>
        <w:pStyle w:val="Normlnweb"/>
        <w:spacing w:before="0" w:beforeAutospacing="0" w:after="0" w:afterAutospacing="0"/>
        <w:jc w:val="both"/>
        <w:rPr>
          <w:rFonts w:asciiTheme="minorHAnsi" w:hAnsiTheme="minorHAnsi"/>
        </w:rPr>
      </w:pPr>
    </w:p>
    <w:p w14:paraId="7C13728A" w14:textId="77777777" w:rsidR="00C07DEA" w:rsidRDefault="00C07DEA" w:rsidP="00307649">
      <w:pPr>
        <w:pStyle w:val="Normlnweb"/>
        <w:spacing w:before="0" w:beforeAutospacing="0" w:after="0" w:afterAutospacing="0"/>
        <w:jc w:val="both"/>
        <w:rPr>
          <w:rFonts w:asciiTheme="minorHAnsi" w:hAnsiTheme="minorHAnsi"/>
        </w:rPr>
      </w:pPr>
    </w:p>
    <w:p w14:paraId="111E11D2" w14:textId="77777777" w:rsidR="00C07DEA" w:rsidRDefault="00C07DEA" w:rsidP="00307649">
      <w:pPr>
        <w:pStyle w:val="Normlnweb"/>
        <w:spacing w:before="0" w:beforeAutospacing="0" w:after="0" w:afterAutospacing="0"/>
        <w:jc w:val="both"/>
        <w:rPr>
          <w:rFonts w:asciiTheme="minorHAnsi" w:hAnsiTheme="minorHAnsi"/>
        </w:rPr>
      </w:pPr>
    </w:p>
    <w:p w14:paraId="499E582A" w14:textId="77777777" w:rsidR="00C07DEA" w:rsidRDefault="00C07DEA" w:rsidP="00307649">
      <w:pPr>
        <w:pStyle w:val="Normlnweb"/>
        <w:spacing w:before="0" w:beforeAutospacing="0" w:after="0" w:afterAutospacing="0"/>
        <w:jc w:val="both"/>
        <w:rPr>
          <w:rFonts w:asciiTheme="minorHAnsi" w:hAnsiTheme="minorHAnsi"/>
        </w:rPr>
      </w:pPr>
    </w:p>
    <w:p w14:paraId="5AA929E9" w14:textId="77777777" w:rsidR="00C07DEA" w:rsidRDefault="00C07DEA" w:rsidP="00307649">
      <w:pPr>
        <w:pStyle w:val="Normlnweb"/>
        <w:spacing w:before="0" w:beforeAutospacing="0" w:after="0" w:afterAutospacing="0"/>
        <w:jc w:val="both"/>
        <w:rPr>
          <w:rFonts w:asciiTheme="minorHAnsi" w:hAnsiTheme="minorHAnsi"/>
        </w:rPr>
      </w:pPr>
    </w:p>
    <w:p w14:paraId="26B9A3A4" w14:textId="77777777" w:rsidR="00C07DEA" w:rsidRDefault="00C07DEA" w:rsidP="00307649">
      <w:pPr>
        <w:pStyle w:val="Normlnweb"/>
        <w:spacing w:before="0" w:beforeAutospacing="0" w:after="0" w:afterAutospacing="0"/>
        <w:jc w:val="both"/>
        <w:rPr>
          <w:rFonts w:asciiTheme="minorHAnsi" w:hAnsiTheme="minorHAnsi"/>
        </w:rPr>
      </w:pPr>
    </w:p>
    <w:p w14:paraId="3AC795CF" w14:textId="77777777" w:rsidR="00C07DEA" w:rsidRDefault="00C07DEA" w:rsidP="00307649">
      <w:pPr>
        <w:pStyle w:val="Normlnweb"/>
        <w:spacing w:before="0" w:beforeAutospacing="0" w:after="0" w:afterAutospacing="0"/>
        <w:jc w:val="both"/>
        <w:rPr>
          <w:rFonts w:asciiTheme="minorHAnsi" w:hAnsiTheme="minorHAnsi"/>
        </w:rPr>
      </w:pPr>
    </w:p>
    <w:p w14:paraId="5D46D021" w14:textId="0939F75F" w:rsidR="00082BB7" w:rsidRDefault="004D26B7" w:rsidP="00DA3320">
      <w:pPr>
        <w:pStyle w:val="Normlnweb"/>
        <w:numPr>
          <w:ilvl w:val="0"/>
          <w:numId w:val="16"/>
        </w:numPr>
        <w:spacing w:before="0" w:beforeAutospacing="0" w:after="0" w:afterAutospacing="0"/>
        <w:ind w:left="426" w:hanging="426"/>
        <w:jc w:val="both"/>
        <w:rPr>
          <w:rFonts w:asciiTheme="minorHAnsi" w:hAnsiTheme="minorHAnsi"/>
          <w:b/>
          <w:u w:val="single"/>
        </w:rPr>
      </w:pPr>
      <w:r>
        <w:rPr>
          <w:rFonts w:asciiTheme="minorHAnsi" w:hAnsiTheme="minorHAnsi"/>
          <w:b/>
          <w:u w:val="single"/>
        </w:rPr>
        <w:t>Z</w:t>
      </w:r>
      <w:r w:rsidR="00082BB7" w:rsidRPr="00082BB7">
        <w:rPr>
          <w:rFonts w:asciiTheme="minorHAnsi" w:hAnsiTheme="minorHAnsi"/>
          <w:b/>
          <w:u w:val="single"/>
        </w:rPr>
        <w:t>ávaz</w:t>
      </w:r>
      <w:r>
        <w:rPr>
          <w:rFonts w:asciiTheme="minorHAnsi" w:hAnsiTheme="minorHAnsi"/>
          <w:b/>
          <w:u w:val="single"/>
        </w:rPr>
        <w:t>e</w:t>
      </w:r>
      <w:r w:rsidR="00BB6C54">
        <w:rPr>
          <w:rFonts w:asciiTheme="minorHAnsi" w:hAnsiTheme="minorHAnsi"/>
          <w:b/>
          <w:u w:val="single"/>
        </w:rPr>
        <w:t xml:space="preserve">k uvedený v  rozhodnutí </w:t>
      </w:r>
      <w:r w:rsidR="00BD4871">
        <w:rPr>
          <w:rFonts w:asciiTheme="minorHAnsi" w:hAnsiTheme="minorHAnsi"/>
          <w:b/>
          <w:u w:val="single"/>
        </w:rPr>
        <w:t xml:space="preserve">Evropské komise </w:t>
      </w:r>
      <w:r w:rsidR="00BB6C54">
        <w:rPr>
          <w:rFonts w:asciiTheme="minorHAnsi" w:hAnsiTheme="minorHAnsi"/>
          <w:b/>
          <w:u w:val="single"/>
        </w:rPr>
        <w:t>SA.40171</w:t>
      </w:r>
      <w:r w:rsidR="00AD7386">
        <w:rPr>
          <w:rFonts w:asciiTheme="minorHAnsi" w:hAnsiTheme="minorHAnsi"/>
          <w:b/>
          <w:u w:val="single"/>
        </w:rPr>
        <w:t xml:space="preserve"> (2015/NN)</w:t>
      </w:r>
      <w:r w:rsidR="00082BB7" w:rsidRPr="00082BB7">
        <w:rPr>
          <w:rFonts w:asciiTheme="minorHAnsi" w:hAnsiTheme="minorHAnsi"/>
          <w:b/>
          <w:u w:val="single"/>
        </w:rPr>
        <w:t>:</w:t>
      </w:r>
    </w:p>
    <w:p w14:paraId="00AB7276" w14:textId="77777777" w:rsidR="0022612F" w:rsidRDefault="0022612F" w:rsidP="00DA4AE1">
      <w:pPr>
        <w:pStyle w:val="Normlnweb"/>
        <w:spacing w:before="0" w:beforeAutospacing="0" w:after="0" w:afterAutospacing="0"/>
        <w:ind w:left="360"/>
        <w:jc w:val="both"/>
        <w:rPr>
          <w:rFonts w:asciiTheme="minorHAnsi" w:hAnsiTheme="minorHAnsi"/>
          <w:b/>
          <w:u w:val="single"/>
        </w:rPr>
      </w:pPr>
    </w:p>
    <w:p w14:paraId="4C52BEA1" w14:textId="2866F148" w:rsidR="008B6A70" w:rsidRDefault="0022612F" w:rsidP="004713EF">
      <w:pPr>
        <w:pStyle w:val="Normlnweb"/>
        <w:spacing w:line="276" w:lineRule="auto"/>
        <w:jc w:val="both"/>
        <w:rPr>
          <w:rFonts w:asciiTheme="minorHAnsi" w:hAnsiTheme="minorHAnsi"/>
        </w:rPr>
      </w:pPr>
      <w:r w:rsidRPr="001D0305">
        <w:rPr>
          <w:rFonts w:asciiTheme="minorHAnsi" w:hAnsiTheme="minorHAnsi"/>
        </w:rPr>
        <w:t xml:space="preserve">Závazky pro Českou republiku, týkající se </w:t>
      </w:r>
      <w:r w:rsidR="007E74C9" w:rsidRPr="000B4301">
        <w:rPr>
          <w:rFonts w:asciiTheme="minorHAnsi" w:hAnsiTheme="minorHAnsi"/>
        </w:rPr>
        <w:t xml:space="preserve">mechanismu </w:t>
      </w:r>
      <w:r w:rsidR="00777AA3">
        <w:rPr>
          <w:rFonts w:asciiTheme="minorHAnsi" w:hAnsiTheme="minorHAnsi"/>
        </w:rPr>
        <w:t xml:space="preserve">kontroly přiměřenosti </w:t>
      </w:r>
      <w:r w:rsidR="007E74C9" w:rsidRPr="000B4301">
        <w:rPr>
          <w:rFonts w:asciiTheme="minorHAnsi" w:hAnsiTheme="minorHAnsi"/>
        </w:rPr>
        <w:t>podpory</w:t>
      </w:r>
      <w:r w:rsidR="007E74C9" w:rsidRPr="007E74C9">
        <w:rPr>
          <w:rFonts w:asciiTheme="minorHAnsi" w:hAnsiTheme="minorHAnsi"/>
        </w:rPr>
        <w:t xml:space="preserve"> </w:t>
      </w:r>
      <w:r w:rsidR="001D0305" w:rsidRPr="004713EF">
        <w:rPr>
          <w:rFonts w:asciiTheme="minorHAnsi" w:hAnsiTheme="minorHAnsi"/>
        </w:rPr>
        <w:t xml:space="preserve">vyplývající z rozhodnutí </w:t>
      </w:r>
      <w:r w:rsidR="00BD4871">
        <w:rPr>
          <w:rFonts w:asciiTheme="minorHAnsi" w:hAnsiTheme="minorHAnsi"/>
        </w:rPr>
        <w:t xml:space="preserve">Evropské komise </w:t>
      </w:r>
      <w:r w:rsidR="001D0305" w:rsidRPr="004713EF">
        <w:rPr>
          <w:rFonts w:asciiTheme="minorHAnsi" w:hAnsiTheme="minorHAnsi"/>
          <w:b/>
        </w:rPr>
        <w:t xml:space="preserve">SA. 40171 </w:t>
      </w:r>
      <w:r w:rsidR="009B58E3" w:rsidRPr="004713EF">
        <w:rPr>
          <w:rFonts w:asciiTheme="minorHAnsi" w:hAnsiTheme="minorHAnsi"/>
          <w:b/>
        </w:rPr>
        <w:t>určen</w:t>
      </w:r>
      <w:r w:rsidR="009B58E3">
        <w:rPr>
          <w:rFonts w:asciiTheme="minorHAnsi" w:hAnsiTheme="minorHAnsi"/>
          <w:b/>
        </w:rPr>
        <w:t>é</w:t>
      </w:r>
      <w:r w:rsidR="009B58E3" w:rsidRPr="004713EF">
        <w:rPr>
          <w:rFonts w:asciiTheme="minorHAnsi" w:hAnsiTheme="minorHAnsi"/>
          <w:b/>
        </w:rPr>
        <w:t xml:space="preserve"> </w:t>
      </w:r>
      <w:r w:rsidR="001D0305" w:rsidRPr="004713EF">
        <w:rPr>
          <w:rFonts w:asciiTheme="minorHAnsi" w:hAnsiTheme="minorHAnsi"/>
          <w:b/>
        </w:rPr>
        <w:t>pro obnovitelné zdroje energie uvedené do provozu od 1.1.2006 do 31.12.2012</w:t>
      </w:r>
      <w:r w:rsidR="00DA3320">
        <w:rPr>
          <w:rFonts w:asciiTheme="minorHAnsi" w:hAnsiTheme="minorHAnsi"/>
        </w:rPr>
        <w:t>:</w:t>
      </w:r>
    </w:p>
    <w:p w14:paraId="71ADC099" w14:textId="3AC6953F" w:rsidR="009B58E3" w:rsidRPr="00C07DEA" w:rsidRDefault="001F27C6" w:rsidP="00C07DEA">
      <w:pPr>
        <w:pStyle w:val="Odstavecseseznamem"/>
        <w:numPr>
          <w:ilvl w:val="0"/>
          <w:numId w:val="35"/>
        </w:numPr>
        <w:tabs>
          <w:tab w:val="left" w:pos="0"/>
        </w:tabs>
        <w:overflowPunct/>
        <w:autoSpaceDE/>
        <w:autoSpaceDN/>
        <w:adjustRightInd/>
        <w:spacing w:before="100" w:beforeAutospacing="1" w:after="100" w:afterAutospacing="1" w:line="276" w:lineRule="auto"/>
        <w:ind w:left="567" w:hanging="567"/>
        <w:jc w:val="both"/>
        <w:textAlignment w:val="auto"/>
        <w:rPr>
          <w:i/>
          <w:sz w:val="24"/>
          <w:szCs w:val="24"/>
        </w:rPr>
      </w:pPr>
      <w:r w:rsidRPr="00C07DEA">
        <w:rPr>
          <w:i/>
          <w:sz w:val="24"/>
          <w:szCs w:val="24"/>
        </w:rPr>
        <w:t>Vzhledem k chybějícím ustanovením, která by zajistila úpravu výše podpory v případě její kumulace, se české orgány zavázaly k zavedení kontrolního mechanismu. Účelem tohoto kontrolního mechanismu je odstranění rizika nadměrné kompenzace, která by mohla vzniknout na základě kumulace podpory nebo nadhodnocení kterékoli z nákladových položek, které jsou při výpočtu výše podpory zohledňovány. Přezkum podpory bude proveden 10 let po uvedení zařízení, na které se podpora podle tohoto režimu vztahuje, do provozu</w:t>
      </w:r>
      <w:r w:rsidRPr="001F27C6">
        <w:rPr>
          <w:rStyle w:val="Znakapoznpodarou"/>
          <w:i/>
          <w:sz w:val="24"/>
          <w:szCs w:val="24"/>
        </w:rPr>
        <w:footnoteReference w:id="1"/>
      </w:r>
      <w:r w:rsidRPr="00C07DEA">
        <w:rPr>
          <w:i/>
          <w:sz w:val="24"/>
          <w:szCs w:val="24"/>
        </w:rPr>
        <w:t>.</w:t>
      </w:r>
    </w:p>
    <w:p w14:paraId="4502AC24" w14:textId="328AF2A3" w:rsidR="009B58E3" w:rsidRPr="00C07DEA" w:rsidRDefault="001F27C6" w:rsidP="00C07DEA">
      <w:pPr>
        <w:pStyle w:val="Odstavecseseznamem"/>
        <w:numPr>
          <w:ilvl w:val="0"/>
          <w:numId w:val="35"/>
        </w:numPr>
        <w:tabs>
          <w:tab w:val="left" w:pos="0"/>
        </w:tabs>
        <w:overflowPunct/>
        <w:autoSpaceDE/>
        <w:autoSpaceDN/>
        <w:adjustRightInd/>
        <w:spacing w:before="100" w:beforeAutospacing="1" w:after="100" w:afterAutospacing="1" w:line="276" w:lineRule="auto"/>
        <w:ind w:left="567" w:hanging="567"/>
        <w:jc w:val="both"/>
        <w:textAlignment w:val="auto"/>
        <w:rPr>
          <w:i/>
          <w:sz w:val="24"/>
          <w:szCs w:val="24"/>
        </w:rPr>
      </w:pPr>
      <w:r w:rsidRPr="00DA3320">
        <w:rPr>
          <w:i/>
          <w:sz w:val="24"/>
          <w:szCs w:val="24"/>
        </w:rPr>
        <w:t>České orgány budou monitorovat celkovou úroveň podpory, kterou zařízení podle oznámeného režimu dostávají. V případě, že příjemce nabývá výnosy v takové celkové výši, která by vyústila v návratnost překračující přípustný rozsah návratnosti</w:t>
      </w:r>
      <w:r w:rsidRPr="001F27C6">
        <w:rPr>
          <w:rStyle w:val="Znakapoznpodarou"/>
          <w:i/>
          <w:sz w:val="24"/>
          <w:szCs w:val="24"/>
        </w:rPr>
        <w:footnoteReference w:id="2"/>
      </w:r>
      <w:r w:rsidRPr="00C07DEA">
        <w:rPr>
          <w:i/>
          <w:sz w:val="24"/>
          <w:szCs w:val="24"/>
        </w:rPr>
        <w:t xml:space="preserve"> považovaný za přiměřený českými orgány a Komisí (</w:t>
      </w:r>
      <w:r w:rsidR="008B6A70" w:rsidRPr="00C07DEA">
        <w:rPr>
          <w:i/>
          <w:sz w:val="24"/>
          <w:szCs w:val="24"/>
        </w:rPr>
        <w:t>6,3 % až 10,6 %</w:t>
      </w:r>
      <w:r w:rsidRPr="00C07DEA">
        <w:rPr>
          <w:i/>
          <w:sz w:val="24"/>
          <w:szCs w:val="24"/>
        </w:rPr>
        <w:t>), ať už vznikly snížením výrobních nákladů a/nebo kombinací investiční a jiné provozní podpory s podporou poskytovanou podle oznámeného režimu, přijmou české orgány níže uvedená opatření, která zajistí, aby k nadměrné kompenzaci nedocházelo nebo aby byla v případě nutnosti získána zpět.</w:t>
      </w:r>
    </w:p>
    <w:p w14:paraId="2BC985D8" w14:textId="3DD0BACB" w:rsidR="009B58E3" w:rsidRPr="00C07DEA" w:rsidRDefault="001F27C6" w:rsidP="00C07DEA">
      <w:pPr>
        <w:pStyle w:val="Odstavecseseznamem"/>
        <w:numPr>
          <w:ilvl w:val="0"/>
          <w:numId w:val="35"/>
        </w:numPr>
        <w:tabs>
          <w:tab w:val="left" w:pos="0"/>
        </w:tabs>
        <w:overflowPunct/>
        <w:autoSpaceDE/>
        <w:autoSpaceDN/>
        <w:adjustRightInd/>
        <w:spacing w:before="100" w:beforeAutospacing="1" w:after="100" w:afterAutospacing="1" w:line="276" w:lineRule="auto"/>
        <w:ind w:left="567" w:hanging="567"/>
        <w:jc w:val="both"/>
        <w:textAlignment w:val="auto"/>
        <w:rPr>
          <w:i/>
          <w:sz w:val="24"/>
          <w:szCs w:val="24"/>
        </w:rPr>
      </w:pPr>
      <w:r w:rsidRPr="00C07DEA">
        <w:rPr>
          <w:i/>
          <w:sz w:val="24"/>
          <w:szCs w:val="24"/>
        </w:rPr>
        <w:t>V případě nadměrné kompenzace české orgány příjemci buď sníží výši budoucí podpory, zkrátí dobu, po kterou bude podpora vyplácena, nebo, v nutných případech, nabydou zpět část podpory, která nadměrnou kompenzaci způsobila.</w:t>
      </w:r>
    </w:p>
    <w:p w14:paraId="77E789E0" w14:textId="35A841DD" w:rsidR="00E95EAA" w:rsidRPr="00CB4E6C" w:rsidRDefault="00E95EAA" w:rsidP="00C07DEA">
      <w:pPr>
        <w:pStyle w:val="Odstavecseseznamem"/>
        <w:numPr>
          <w:ilvl w:val="0"/>
          <w:numId w:val="35"/>
        </w:numPr>
        <w:tabs>
          <w:tab w:val="left" w:pos="0"/>
        </w:tabs>
        <w:overflowPunct/>
        <w:autoSpaceDE/>
        <w:autoSpaceDN/>
        <w:adjustRightInd/>
        <w:spacing w:before="100" w:beforeAutospacing="1" w:after="100" w:afterAutospacing="1" w:line="276" w:lineRule="auto"/>
        <w:ind w:left="567" w:hanging="567"/>
        <w:contextualSpacing w:val="0"/>
        <w:jc w:val="both"/>
        <w:textAlignment w:val="auto"/>
        <w:rPr>
          <w:i/>
          <w:sz w:val="24"/>
          <w:szCs w:val="24"/>
        </w:rPr>
      </w:pPr>
      <w:r w:rsidRPr="00CB4E6C">
        <w:rPr>
          <w:i/>
          <w:sz w:val="24"/>
          <w:szCs w:val="24"/>
        </w:rPr>
        <w:t>Podniky, které pobírají po dobu tří let podporu podle oznámeného režimu či jinou podporu de minimis, jejíž celková výše nepřesahuje hranici stanovenou nařízením Komise č. 1407/2013</w:t>
      </w:r>
      <w:r w:rsidRPr="00CB4E6C">
        <w:rPr>
          <w:rStyle w:val="Znakapoznpodarou"/>
          <w:i/>
          <w:sz w:val="24"/>
          <w:szCs w:val="24"/>
        </w:rPr>
        <w:footnoteReference w:id="3"/>
      </w:r>
      <w:r w:rsidRPr="00CB4E6C">
        <w:rPr>
          <w:i/>
          <w:sz w:val="24"/>
          <w:szCs w:val="24"/>
        </w:rPr>
        <w:t>, nebudou přezkumu podrobeny.</w:t>
      </w:r>
    </w:p>
    <w:p w14:paraId="1A98C69E" w14:textId="77777777" w:rsidR="00803792" w:rsidRDefault="00803792" w:rsidP="00816A2B">
      <w:pPr>
        <w:tabs>
          <w:tab w:val="left" w:pos="0"/>
        </w:tabs>
        <w:overflowPunct/>
        <w:autoSpaceDE/>
        <w:autoSpaceDN/>
        <w:adjustRightInd/>
        <w:spacing w:after="0" w:line="240" w:lineRule="auto"/>
        <w:jc w:val="both"/>
        <w:textAlignment w:val="auto"/>
        <w:rPr>
          <w:sz w:val="24"/>
          <w:szCs w:val="24"/>
        </w:rPr>
      </w:pPr>
    </w:p>
    <w:p w14:paraId="72085A30" w14:textId="77777777" w:rsidR="00803792" w:rsidRDefault="00803792" w:rsidP="00816A2B">
      <w:pPr>
        <w:tabs>
          <w:tab w:val="left" w:pos="0"/>
        </w:tabs>
        <w:overflowPunct/>
        <w:autoSpaceDE/>
        <w:autoSpaceDN/>
        <w:adjustRightInd/>
        <w:spacing w:after="0" w:line="240" w:lineRule="auto"/>
        <w:jc w:val="both"/>
        <w:textAlignment w:val="auto"/>
        <w:rPr>
          <w:sz w:val="24"/>
          <w:szCs w:val="24"/>
        </w:rPr>
      </w:pPr>
    </w:p>
    <w:p w14:paraId="7996F226" w14:textId="77777777" w:rsidR="00C07DEA" w:rsidRDefault="00C07DEA" w:rsidP="00816A2B">
      <w:pPr>
        <w:tabs>
          <w:tab w:val="left" w:pos="0"/>
        </w:tabs>
        <w:overflowPunct/>
        <w:autoSpaceDE/>
        <w:autoSpaceDN/>
        <w:adjustRightInd/>
        <w:spacing w:after="0" w:line="240" w:lineRule="auto"/>
        <w:jc w:val="both"/>
        <w:textAlignment w:val="auto"/>
        <w:rPr>
          <w:sz w:val="24"/>
          <w:szCs w:val="24"/>
        </w:rPr>
      </w:pPr>
    </w:p>
    <w:p w14:paraId="2ED48A1A" w14:textId="77777777" w:rsidR="00C07DEA" w:rsidRDefault="00C07DEA" w:rsidP="00816A2B">
      <w:pPr>
        <w:tabs>
          <w:tab w:val="left" w:pos="0"/>
        </w:tabs>
        <w:overflowPunct/>
        <w:autoSpaceDE/>
        <w:autoSpaceDN/>
        <w:adjustRightInd/>
        <w:spacing w:after="0" w:line="240" w:lineRule="auto"/>
        <w:jc w:val="both"/>
        <w:textAlignment w:val="auto"/>
        <w:rPr>
          <w:sz w:val="24"/>
          <w:szCs w:val="24"/>
        </w:rPr>
      </w:pPr>
    </w:p>
    <w:p w14:paraId="2AC2C94F" w14:textId="77777777" w:rsidR="00C07DEA" w:rsidRDefault="00C07DEA" w:rsidP="00816A2B">
      <w:pPr>
        <w:tabs>
          <w:tab w:val="left" w:pos="0"/>
        </w:tabs>
        <w:overflowPunct/>
        <w:autoSpaceDE/>
        <w:autoSpaceDN/>
        <w:adjustRightInd/>
        <w:spacing w:after="0" w:line="240" w:lineRule="auto"/>
        <w:jc w:val="both"/>
        <w:textAlignment w:val="auto"/>
        <w:rPr>
          <w:sz w:val="24"/>
          <w:szCs w:val="24"/>
        </w:rPr>
      </w:pPr>
    </w:p>
    <w:p w14:paraId="3101B7D3" w14:textId="4B6C070E" w:rsidR="005E3AED" w:rsidRPr="00E95EAA" w:rsidRDefault="004D26B7" w:rsidP="00DA3320">
      <w:pPr>
        <w:pStyle w:val="Odstavecseseznamem"/>
        <w:numPr>
          <w:ilvl w:val="0"/>
          <w:numId w:val="16"/>
        </w:numPr>
        <w:tabs>
          <w:tab w:val="left" w:pos="0"/>
        </w:tabs>
        <w:overflowPunct/>
        <w:autoSpaceDE/>
        <w:autoSpaceDN/>
        <w:adjustRightInd/>
        <w:spacing w:after="0" w:line="240" w:lineRule="auto"/>
        <w:ind w:left="426" w:hanging="426"/>
        <w:jc w:val="both"/>
        <w:textAlignment w:val="auto"/>
        <w:rPr>
          <w:rFonts w:cstheme="minorHAnsi"/>
          <w:b/>
          <w:sz w:val="24"/>
          <w:szCs w:val="24"/>
          <w:u w:val="single"/>
        </w:rPr>
      </w:pPr>
      <w:r>
        <w:rPr>
          <w:rFonts w:cstheme="minorHAnsi"/>
          <w:b/>
          <w:sz w:val="24"/>
          <w:szCs w:val="24"/>
          <w:u w:val="single"/>
        </w:rPr>
        <w:t>Z</w:t>
      </w:r>
      <w:r w:rsidR="005E3AED" w:rsidRPr="00E95EAA">
        <w:rPr>
          <w:rFonts w:cstheme="minorHAnsi"/>
          <w:b/>
          <w:sz w:val="24"/>
          <w:szCs w:val="24"/>
          <w:u w:val="single"/>
        </w:rPr>
        <w:t>ávaz</w:t>
      </w:r>
      <w:r>
        <w:rPr>
          <w:rFonts w:cstheme="minorHAnsi"/>
          <w:b/>
          <w:sz w:val="24"/>
          <w:szCs w:val="24"/>
          <w:u w:val="single"/>
        </w:rPr>
        <w:t>e</w:t>
      </w:r>
      <w:r w:rsidR="005E3AED" w:rsidRPr="00E95EAA">
        <w:rPr>
          <w:rFonts w:cstheme="minorHAnsi"/>
          <w:b/>
          <w:sz w:val="24"/>
          <w:szCs w:val="24"/>
          <w:u w:val="single"/>
        </w:rPr>
        <w:t xml:space="preserve">k uvedený v  rozhodnutí </w:t>
      </w:r>
      <w:r w:rsidR="00BD4871">
        <w:rPr>
          <w:rFonts w:cstheme="minorHAnsi"/>
          <w:b/>
          <w:sz w:val="24"/>
          <w:szCs w:val="24"/>
          <w:u w:val="single"/>
        </w:rPr>
        <w:t xml:space="preserve">Evropské komise </w:t>
      </w:r>
      <w:r w:rsidR="005E3AED" w:rsidRPr="00E95EAA">
        <w:rPr>
          <w:rFonts w:cstheme="minorHAnsi"/>
          <w:b/>
          <w:sz w:val="24"/>
          <w:szCs w:val="24"/>
          <w:u w:val="single"/>
        </w:rPr>
        <w:t>SA.35177</w:t>
      </w:r>
      <w:r w:rsidR="00AD7386">
        <w:rPr>
          <w:rFonts w:cstheme="minorHAnsi"/>
          <w:b/>
          <w:sz w:val="24"/>
          <w:szCs w:val="24"/>
          <w:u w:val="single"/>
        </w:rPr>
        <w:t xml:space="preserve"> (2014/NN)</w:t>
      </w:r>
      <w:r w:rsidR="005E3AED" w:rsidRPr="00E95EAA">
        <w:rPr>
          <w:rFonts w:cstheme="minorHAnsi"/>
          <w:b/>
          <w:sz w:val="24"/>
          <w:szCs w:val="24"/>
          <w:u w:val="single"/>
        </w:rPr>
        <w:t>:</w:t>
      </w:r>
    </w:p>
    <w:p w14:paraId="29F5DE23" w14:textId="77777777" w:rsidR="00BB6C54" w:rsidRDefault="00BB6C54" w:rsidP="00816A2B">
      <w:pPr>
        <w:tabs>
          <w:tab w:val="left" w:pos="0"/>
        </w:tabs>
        <w:overflowPunct/>
        <w:autoSpaceDE/>
        <w:autoSpaceDN/>
        <w:adjustRightInd/>
        <w:spacing w:after="0" w:line="240" w:lineRule="auto"/>
        <w:jc w:val="both"/>
        <w:textAlignment w:val="auto"/>
        <w:rPr>
          <w:sz w:val="24"/>
          <w:szCs w:val="24"/>
        </w:rPr>
      </w:pPr>
    </w:p>
    <w:p w14:paraId="5857BF4D" w14:textId="2713DBA4" w:rsidR="0055018B" w:rsidRPr="00C12A5B" w:rsidRDefault="004D26B7" w:rsidP="004713EF">
      <w:pPr>
        <w:pStyle w:val="Default"/>
        <w:spacing w:before="100" w:beforeAutospacing="1" w:after="100" w:afterAutospacing="1" w:line="276" w:lineRule="auto"/>
        <w:jc w:val="both"/>
        <w:rPr>
          <w:rFonts w:cstheme="minorHAnsi"/>
        </w:rPr>
      </w:pPr>
      <w:r>
        <w:rPr>
          <w:rFonts w:asciiTheme="minorHAnsi" w:hAnsiTheme="minorHAnsi" w:cstheme="minorHAnsi"/>
        </w:rPr>
        <w:t>O</w:t>
      </w:r>
      <w:r w:rsidR="004343E3" w:rsidRPr="00E95EAA">
        <w:rPr>
          <w:rFonts w:asciiTheme="minorHAnsi" w:hAnsiTheme="minorHAnsi" w:cstheme="minorHAnsi"/>
        </w:rPr>
        <w:t xml:space="preserve">bdobný princip </w:t>
      </w:r>
      <w:r w:rsidR="007E74C9" w:rsidRPr="00F40C6B">
        <w:rPr>
          <w:rFonts w:asciiTheme="minorHAnsi" w:eastAsiaTheme="minorHAnsi" w:hAnsiTheme="minorHAnsi"/>
        </w:rPr>
        <w:t xml:space="preserve">mechanismu </w:t>
      </w:r>
      <w:r w:rsidR="00777AA3">
        <w:rPr>
          <w:rFonts w:asciiTheme="minorHAnsi" w:eastAsiaTheme="minorHAnsi" w:hAnsiTheme="minorHAnsi"/>
        </w:rPr>
        <w:t xml:space="preserve">kontroly přiměřenosti </w:t>
      </w:r>
      <w:r w:rsidR="007E74C9" w:rsidRPr="00F40C6B">
        <w:rPr>
          <w:rFonts w:asciiTheme="minorHAnsi" w:eastAsiaTheme="minorHAnsi" w:hAnsiTheme="minorHAnsi"/>
        </w:rPr>
        <w:t xml:space="preserve"> podpory</w:t>
      </w:r>
      <w:r w:rsidR="00C67F73">
        <w:rPr>
          <w:rFonts w:asciiTheme="minorHAnsi" w:hAnsiTheme="minorHAnsi" w:cstheme="minorHAnsi"/>
        </w:rPr>
        <w:t>,</w:t>
      </w:r>
      <w:r w:rsidR="0055018B" w:rsidRPr="00E95EAA">
        <w:rPr>
          <w:rFonts w:asciiTheme="minorHAnsi" w:hAnsiTheme="minorHAnsi" w:cstheme="minorHAnsi"/>
        </w:rPr>
        <w:t xml:space="preserve"> </w:t>
      </w:r>
      <w:r w:rsidR="005E3AED">
        <w:rPr>
          <w:rFonts w:asciiTheme="minorHAnsi" w:hAnsiTheme="minorHAnsi" w:cstheme="minorHAnsi"/>
        </w:rPr>
        <w:t xml:space="preserve">jako </w:t>
      </w:r>
      <w:r w:rsidR="00861E8C">
        <w:rPr>
          <w:rFonts w:asciiTheme="minorHAnsi" w:hAnsiTheme="minorHAnsi" w:cstheme="minorHAnsi"/>
        </w:rPr>
        <w:t>j</w:t>
      </w:r>
      <w:r>
        <w:rPr>
          <w:rFonts w:asciiTheme="minorHAnsi" w:hAnsiTheme="minorHAnsi" w:cstheme="minorHAnsi"/>
        </w:rPr>
        <w:t>e</w:t>
      </w:r>
      <w:r w:rsidR="00861E8C">
        <w:rPr>
          <w:rFonts w:asciiTheme="minorHAnsi" w:hAnsiTheme="minorHAnsi" w:cstheme="minorHAnsi"/>
        </w:rPr>
        <w:t xml:space="preserve"> </w:t>
      </w:r>
      <w:r w:rsidR="005E3AED">
        <w:rPr>
          <w:rFonts w:asciiTheme="minorHAnsi" w:hAnsiTheme="minorHAnsi" w:cstheme="minorHAnsi"/>
        </w:rPr>
        <w:t xml:space="preserve">uveden v  rozhodnutí </w:t>
      </w:r>
      <w:r w:rsidR="00BD4871">
        <w:rPr>
          <w:rFonts w:asciiTheme="minorHAnsi" w:hAnsiTheme="minorHAnsi" w:cstheme="minorHAnsi"/>
        </w:rPr>
        <w:t xml:space="preserve">Evropské komise </w:t>
      </w:r>
      <w:r w:rsidR="005E3AED">
        <w:rPr>
          <w:rFonts w:asciiTheme="minorHAnsi" w:hAnsiTheme="minorHAnsi" w:cstheme="minorHAnsi"/>
        </w:rPr>
        <w:t>SA.40171</w:t>
      </w:r>
      <w:r w:rsidR="00C67F73">
        <w:rPr>
          <w:rFonts w:asciiTheme="minorHAnsi" w:hAnsiTheme="minorHAnsi" w:cstheme="minorHAnsi"/>
        </w:rPr>
        <w:t>,</w:t>
      </w:r>
      <w:r w:rsidR="005E3AED">
        <w:rPr>
          <w:rFonts w:asciiTheme="minorHAnsi" w:hAnsiTheme="minorHAnsi" w:cstheme="minorHAnsi"/>
        </w:rPr>
        <w:t xml:space="preserve"> </w:t>
      </w:r>
      <w:r w:rsidR="00861E8C" w:rsidRPr="00E95EAA">
        <w:rPr>
          <w:rFonts w:asciiTheme="minorHAnsi" w:hAnsiTheme="minorHAnsi" w:cstheme="minorHAnsi"/>
        </w:rPr>
        <w:t>j</w:t>
      </w:r>
      <w:r>
        <w:rPr>
          <w:rFonts w:asciiTheme="minorHAnsi" w:hAnsiTheme="minorHAnsi" w:cstheme="minorHAnsi"/>
        </w:rPr>
        <w:t>e obsažen</w:t>
      </w:r>
      <w:r w:rsidR="0055018B" w:rsidRPr="00E95EAA">
        <w:rPr>
          <w:rFonts w:asciiTheme="minorHAnsi" w:hAnsiTheme="minorHAnsi" w:cstheme="minorHAnsi"/>
        </w:rPr>
        <w:t xml:space="preserve"> také v  rozhodnutí </w:t>
      </w:r>
      <w:r w:rsidR="00BD4871">
        <w:rPr>
          <w:rFonts w:asciiTheme="minorHAnsi" w:hAnsiTheme="minorHAnsi" w:cstheme="minorHAnsi"/>
        </w:rPr>
        <w:t xml:space="preserve">Evropské komise </w:t>
      </w:r>
      <w:r w:rsidR="0055018B" w:rsidRPr="00DA4AE1">
        <w:rPr>
          <w:rFonts w:asciiTheme="minorHAnsi" w:hAnsiTheme="minorHAnsi" w:cstheme="minorHAnsi"/>
          <w:b/>
        </w:rPr>
        <w:t xml:space="preserve">SA. 35177 </w:t>
      </w:r>
      <w:r w:rsidR="00DA3320" w:rsidRPr="00DA4AE1">
        <w:rPr>
          <w:rFonts w:asciiTheme="minorHAnsi" w:hAnsiTheme="minorHAnsi" w:cstheme="minorHAnsi"/>
          <w:b/>
        </w:rPr>
        <w:t>určen</w:t>
      </w:r>
      <w:r w:rsidR="00DA3320">
        <w:rPr>
          <w:rFonts w:asciiTheme="minorHAnsi" w:hAnsiTheme="minorHAnsi" w:cstheme="minorHAnsi"/>
          <w:b/>
        </w:rPr>
        <w:t>é</w:t>
      </w:r>
      <w:r w:rsidR="00DA3320" w:rsidRPr="00DA4AE1">
        <w:rPr>
          <w:rFonts w:asciiTheme="minorHAnsi" w:hAnsiTheme="minorHAnsi" w:cstheme="minorHAnsi"/>
          <w:b/>
        </w:rPr>
        <w:t xml:space="preserve"> </w:t>
      </w:r>
      <w:r w:rsidR="0055018B" w:rsidRPr="00DA4AE1">
        <w:rPr>
          <w:rFonts w:asciiTheme="minorHAnsi" w:hAnsiTheme="minorHAnsi" w:cstheme="minorHAnsi"/>
          <w:b/>
        </w:rPr>
        <w:t>pro pro obnovitelné zdroje energie uvedené do provozu od 1.1.2013 do 31.12.2015</w:t>
      </w:r>
      <w:r>
        <w:rPr>
          <w:rFonts w:asciiTheme="minorHAnsi" w:hAnsiTheme="minorHAnsi" w:cstheme="minorHAnsi"/>
          <w:b/>
        </w:rPr>
        <w:t>:</w:t>
      </w:r>
      <w:r w:rsidR="00BB6C54" w:rsidRPr="00C12A5B">
        <w:rPr>
          <w:rFonts w:asciiTheme="minorHAnsi" w:hAnsiTheme="minorHAnsi" w:cstheme="minorHAnsi"/>
        </w:rPr>
        <w:t xml:space="preserve"> </w:t>
      </w:r>
    </w:p>
    <w:p w14:paraId="21232411" w14:textId="7F491922" w:rsidR="00DA3320" w:rsidRDefault="00BB6C54" w:rsidP="00CD2EB8">
      <w:pPr>
        <w:pStyle w:val="Default"/>
        <w:numPr>
          <w:ilvl w:val="0"/>
          <w:numId w:val="55"/>
        </w:numPr>
        <w:spacing w:before="100" w:beforeAutospacing="1" w:after="100" w:afterAutospacing="1" w:line="276" w:lineRule="auto"/>
        <w:ind w:left="426" w:hanging="426"/>
        <w:jc w:val="both"/>
        <w:rPr>
          <w:rFonts w:asciiTheme="minorHAnsi" w:hAnsiTheme="minorHAnsi" w:cstheme="minorHAnsi"/>
          <w:i/>
        </w:rPr>
      </w:pPr>
      <w:r w:rsidRPr="00C67F73">
        <w:rPr>
          <w:rFonts w:asciiTheme="minorHAnsi" w:hAnsiTheme="minorHAnsi" w:cstheme="minorHAnsi"/>
          <w:i/>
        </w:rPr>
        <w:t xml:space="preserve">České orgány se zavázaly, že prostřednictvím legislativních změn zavedou mechanismus monitoringu, aby se ověřilo, že nedošlo k žádné nadměrné kompenzaci ve smyslu pokynů Společenství ke státní podpoře na ochranu životního prostředí („pokyny“). Prostřednictvím této revize bude každý příjemce podroben individuální kontrole nadměrné kompenzace, přičemž se zohlední podmínka patnáctileté doby návratnosti. Revize podpory udělené každému příjemci se bude provádět po 10 letech od zahájení provozu elektrárny a na základě výpočtů a dokumentace předložených výrobcem elektřiny, včetně zejména informací o investiční podpoře poskytnuté na výstavbu nebo rekonstrukci zařízení. </w:t>
      </w:r>
    </w:p>
    <w:p w14:paraId="75C04C44" w14:textId="4FA7DA06" w:rsidR="00DA3320" w:rsidRPr="00DA3320" w:rsidRDefault="00BB6C54" w:rsidP="00C07DEA">
      <w:pPr>
        <w:pStyle w:val="Default"/>
        <w:numPr>
          <w:ilvl w:val="0"/>
          <w:numId w:val="55"/>
        </w:numPr>
        <w:spacing w:before="100" w:beforeAutospacing="1" w:after="100" w:afterAutospacing="1" w:line="276" w:lineRule="auto"/>
        <w:ind w:left="426" w:hanging="426"/>
        <w:jc w:val="both"/>
        <w:rPr>
          <w:rFonts w:asciiTheme="minorHAnsi" w:hAnsiTheme="minorHAnsi" w:cstheme="minorHAnsi"/>
          <w:i/>
        </w:rPr>
      </w:pPr>
      <w:r w:rsidRPr="00C67F73">
        <w:rPr>
          <w:rFonts w:asciiTheme="minorHAnsi" w:hAnsiTheme="minorHAnsi" w:cstheme="minorHAnsi"/>
          <w:i/>
        </w:rPr>
        <w:t xml:space="preserve">V případě, kdy se doba návratnosti investice jeví být kratší než 15 let, sníží ERÚ odpovídajícím způsobem období dalších plateb. Výpočty budou zahrnovat přiměřenou návratnost kapitálu odpovídající výnosu z nízkorizikových investic. </w:t>
      </w:r>
    </w:p>
    <w:p w14:paraId="0DD06588" w14:textId="168C945B" w:rsidR="00BB6C54" w:rsidRPr="00427039" w:rsidRDefault="00BB6C54" w:rsidP="00C07DEA">
      <w:pPr>
        <w:pStyle w:val="Default"/>
        <w:numPr>
          <w:ilvl w:val="0"/>
          <w:numId w:val="55"/>
        </w:numPr>
        <w:spacing w:before="100" w:beforeAutospacing="1" w:after="100" w:afterAutospacing="1" w:line="276" w:lineRule="auto"/>
        <w:ind w:left="426" w:hanging="426"/>
        <w:jc w:val="both"/>
        <w:rPr>
          <w:rFonts w:asciiTheme="minorHAnsi" w:hAnsiTheme="minorHAnsi" w:cstheme="minorHAnsi"/>
          <w:i/>
        </w:rPr>
      </w:pPr>
      <w:r w:rsidRPr="00C67F73">
        <w:rPr>
          <w:rFonts w:asciiTheme="minorHAnsi" w:hAnsiTheme="minorHAnsi" w:cstheme="minorHAnsi"/>
          <w:i/>
        </w:rPr>
        <w:t>Revize ověří nepřítomnost nadměrné kompenzace u výrobců využívajících investiční podporu a/nebo jiné režimy provozní podpory (zejména podporu na výrobu tepla z obnovitelných zdrojů energie, podporu na druhotné zdroje a podporu na kombinovanou výrobu elektřiny a tepla). Revize rovněž ověří nepřítomnost nadměrné kompenzace vyplývající z roční 2% indexace tarifu výkupních cen a provozních nákladů a z dodatečné kompenzace ve formě opravného koeficientu u kladné i záporné nerovnováhy elektřiny. V případě, že z revize podpory poskytnuté jednotlivému příjemci na základě popsaných parametrů a uplatnění příslušného proce</w:t>
      </w:r>
      <w:r w:rsidRPr="00427039">
        <w:rPr>
          <w:rFonts w:asciiTheme="minorHAnsi" w:hAnsiTheme="minorHAnsi" w:cstheme="minorHAnsi"/>
          <w:i/>
        </w:rPr>
        <w:t xml:space="preserve">ntního podílu na snížení provozní podpory, když byla poskytnuta investiční podpora, vyplývá, že existuje riziko nadměrné kompenzace po zbývající dobu trvání plateb, se období, během něhož bude příjemce dostávat podporu, úměrně zkrátí. </w:t>
      </w:r>
    </w:p>
    <w:p w14:paraId="6E4CB5E8" w14:textId="3EA75076" w:rsidR="00BB6C54" w:rsidRPr="00C67F73" w:rsidRDefault="00BB6C54" w:rsidP="00C07DEA">
      <w:pPr>
        <w:pStyle w:val="Default"/>
        <w:numPr>
          <w:ilvl w:val="0"/>
          <w:numId w:val="55"/>
        </w:numPr>
        <w:spacing w:before="100" w:beforeAutospacing="1" w:after="100" w:afterAutospacing="1" w:line="276" w:lineRule="auto"/>
        <w:ind w:left="426" w:hanging="426"/>
        <w:jc w:val="both"/>
        <w:rPr>
          <w:rFonts w:asciiTheme="minorHAnsi" w:hAnsiTheme="minorHAnsi" w:cstheme="minorHAnsi"/>
          <w:i/>
        </w:rPr>
      </w:pPr>
      <w:r w:rsidRPr="00C67F73">
        <w:rPr>
          <w:rFonts w:asciiTheme="minorHAnsi" w:hAnsiTheme="minorHAnsi" w:cstheme="minorHAnsi"/>
          <w:i/>
        </w:rPr>
        <w:t xml:space="preserve">V zásadě budou revizi podrobovány všechny projekty s výjimkou malých projektů, u nichž objem podpory nepřesahuje částku </w:t>
      </w:r>
      <w:r w:rsidRPr="00C67F73">
        <w:rPr>
          <w:rFonts w:asciiTheme="minorHAnsi" w:hAnsiTheme="minorHAnsi" w:cstheme="minorHAnsi"/>
          <w:i/>
          <w:iCs/>
        </w:rPr>
        <w:t>de minimis</w:t>
      </w:r>
      <w:r w:rsidRPr="00C67F73">
        <w:rPr>
          <w:rFonts w:asciiTheme="minorHAnsi" w:hAnsiTheme="minorHAnsi" w:cstheme="minorHAnsi"/>
          <w:i/>
        </w:rPr>
        <w:t xml:space="preserve">. </w:t>
      </w:r>
    </w:p>
    <w:p w14:paraId="5938FA1F" w14:textId="0A631A46" w:rsidR="00C12A5B" w:rsidRDefault="00861E8C" w:rsidP="00C07DEA">
      <w:pPr>
        <w:pStyle w:val="Default"/>
        <w:numPr>
          <w:ilvl w:val="0"/>
          <w:numId w:val="55"/>
        </w:numPr>
        <w:spacing w:before="100" w:beforeAutospacing="1" w:after="100" w:afterAutospacing="1" w:line="276" w:lineRule="auto"/>
        <w:ind w:left="426" w:hanging="426"/>
        <w:jc w:val="both"/>
        <w:rPr>
          <w:rFonts w:asciiTheme="minorHAnsi" w:hAnsiTheme="minorHAnsi" w:cstheme="minorHAnsi"/>
          <w:i/>
        </w:rPr>
      </w:pPr>
      <w:r w:rsidRPr="00C67F73">
        <w:rPr>
          <w:rFonts w:asciiTheme="minorHAnsi" w:hAnsiTheme="minorHAnsi" w:cstheme="minorHAnsi"/>
          <w:bCs/>
          <w:i/>
          <w:iCs/>
        </w:rPr>
        <w:t>…..</w:t>
      </w:r>
      <w:r w:rsidR="00C12A5B" w:rsidRPr="00C67F73">
        <w:rPr>
          <w:rFonts w:asciiTheme="minorHAnsi" w:hAnsiTheme="minorHAnsi" w:cstheme="minorHAnsi"/>
          <w:i/>
        </w:rPr>
        <w:t xml:space="preserve">, aby se zamezilo nadměrné kompenzaci a aby se dosáhlo plného souladu s podmínkami bodu 109 pokynů, zavázaly se české orgány zavést u každého příjemce po 10 letech revizní mechanismus. Jednotlivá revize se bude týkat kumulace s investiční podporou a/nebo jinou provozní podporou, roční 2% indexace tarifu výkupních cen a </w:t>
      </w:r>
      <w:r w:rsidR="00C12A5B" w:rsidRPr="00C67F73">
        <w:rPr>
          <w:rFonts w:asciiTheme="minorHAnsi" w:hAnsiTheme="minorHAnsi" w:cstheme="minorHAnsi"/>
          <w:i/>
        </w:rPr>
        <w:lastRenderedPageBreak/>
        <w:t xml:space="preserve">provozních nákladů a dodatečné kompenzace ve formě opravného koeficientu u kladné i záporné nerovnováhy elektřiny. </w:t>
      </w:r>
    </w:p>
    <w:p w14:paraId="476E165F" w14:textId="77777777" w:rsidR="00DA3320" w:rsidRDefault="00DA3320" w:rsidP="00C07DEA">
      <w:pPr>
        <w:pStyle w:val="Default"/>
        <w:spacing w:before="100" w:beforeAutospacing="1" w:after="100" w:afterAutospacing="1" w:line="276" w:lineRule="auto"/>
        <w:ind w:left="426"/>
        <w:jc w:val="both"/>
        <w:rPr>
          <w:rFonts w:asciiTheme="minorHAnsi" w:hAnsiTheme="minorHAnsi" w:cstheme="minorHAnsi"/>
          <w:i/>
        </w:rPr>
      </w:pPr>
    </w:p>
    <w:p w14:paraId="0DB1A894" w14:textId="77777777" w:rsidR="00C07DEA" w:rsidRDefault="00C07DEA" w:rsidP="00C07DEA">
      <w:pPr>
        <w:pStyle w:val="Default"/>
        <w:spacing w:before="100" w:beforeAutospacing="1" w:after="100" w:afterAutospacing="1" w:line="276" w:lineRule="auto"/>
        <w:ind w:left="426"/>
        <w:jc w:val="both"/>
        <w:rPr>
          <w:rFonts w:asciiTheme="minorHAnsi" w:hAnsiTheme="minorHAnsi" w:cstheme="minorHAnsi"/>
          <w:i/>
        </w:rPr>
      </w:pPr>
    </w:p>
    <w:p w14:paraId="699EF4DB" w14:textId="77777777" w:rsidR="00214129" w:rsidRDefault="00214129" w:rsidP="00C07DEA">
      <w:pPr>
        <w:pStyle w:val="Default"/>
        <w:spacing w:before="100" w:beforeAutospacing="1" w:after="100" w:afterAutospacing="1" w:line="276" w:lineRule="auto"/>
        <w:ind w:left="426"/>
        <w:jc w:val="both"/>
        <w:rPr>
          <w:rFonts w:asciiTheme="minorHAnsi" w:hAnsiTheme="minorHAnsi" w:cstheme="minorHAnsi"/>
          <w:i/>
        </w:rPr>
      </w:pPr>
    </w:p>
    <w:p w14:paraId="4B1CC830" w14:textId="4564CF36" w:rsidR="00DA3320" w:rsidRPr="00C07DEA" w:rsidRDefault="00DA3320" w:rsidP="00DA3320">
      <w:pPr>
        <w:pStyle w:val="Normlnweb"/>
        <w:spacing w:before="0" w:beforeAutospacing="0" w:after="0" w:afterAutospacing="0"/>
        <w:jc w:val="both"/>
        <w:rPr>
          <w:rFonts w:asciiTheme="minorHAnsi" w:hAnsiTheme="minorHAnsi"/>
          <w:b/>
          <w:u w:val="single"/>
        </w:rPr>
      </w:pPr>
      <w:r w:rsidRPr="00C07DEA">
        <w:rPr>
          <w:rFonts w:asciiTheme="minorHAnsi" w:hAnsiTheme="minorHAnsi"/>
          <w:b/>
        </w:rPr>
        <w:t xml:space="preserve">C)       </w:t>
      </w:r>
      <w:r w:rsidRPr="00C07DEA">
        <w:rPr>
          <w:rFonts w:asciiTheme="minorHAnsi" w:hAnsiTheme="minorHAnsi"/>
          <w:b/>
          <w:u w:val="single"/>
        </w:rPr>
        <w:t>Závazek uvedený v rozhodnutí Evropské komise SA.43182 (2015/N):</w:t>
      </w:r>
    </w:p>
    <w:p w14:paraId="5F75B79B" w14:textId="77777777" w:rsidR="00DA3320" w:rsidRPr="00C07DEA" w:rsidRDefault="00DA3320" w:rsidP="00DA3320">
      <w:pPr>
        <w:pStyle w:val="Default"/>
        <w:numPr>
          <w:ilvl w:val="0"/>
          <w:numId w:val="56"/>
        </w:numPr>
        <w:spacing w:before="100" w:beforeAutospacing="1" w:after="100" w:afterAutospacing="1" w:line="276" w:lineRule="auto"/>
        <w:ind w:left="425" w:hanging="425"/>
        <w:jc w:val="both"/>
        <w:rPr>
          <w:rFonts w:asciiTheme="minorHAnsi" w:hAnsiTheme="minorHAnsi"/>
          <w:i/>
          <w:lang w:val="en-US"/>
        </w:rPr>
      </w:pPr>
      <w:r w:rsidRPr="00C07DEA">
        <w:rPr>
          <w:rFonts w:asciiTheme="minorHAnsi" w:hAnsiTheme="minorHAnsi"/>
          <w:i/>
        </w:rPr>
        <w:t>Kumulace investiční podpory s provozní podporou poskytovanou v rámci oznámeného režimu se řeší za pomoci odlišného vzorce pro výpočet částky (Kč/MWh), o kterou by se použitelné tarify výkupních cen a výkupní prémie měly snížit, aby byla zohledněna veškerá poskytnutá investiční podpora.</w:t>
      </w:r>
      <w:r w:rsidRPr="00C07DEA">
        <w:rPr>
          <w:rFonts w:asciiTheme="minorHAnsi" w:hAnsiTheme="minorHAnsi"/>
          <w:i/>
          <w:lang w:val="en-US"/>
        </w:rPr>
        <w:t xml:space="preserve"> </w:t>
      </w:r>
    </w:p>
    <w:p w14:paraId="42119D76" w14:textId="77777777" w:rsidR="00DA3320" w:rsidRPr="00C07DEA" w:rsidRDefault="00DA3320" w:rsidP="00DA3320">
      <w:pPr>
        <w:pStyle w:val="Default"/>
        <w:numPr>
          <w:ilvl w:val="0"/>
          <w:numId w:val="56"/>
        </w:numPr>
        <w:spacing w:before="100" w:beforeAutospacing="1" w:after="100" w:afterAutospacing="1" w:line="276" w:lineRule="auto"/>
        <w:ind w:left="425" w:hanging="425"/>
        <w:jc w:val="both"/>
        <w:rPr>
          <w:rFonts w:asciiTheme="minorHAnsi" w:hAnsiTheme="minorHAnsi"/>
          <w:i/>
          <w:lang w:val="en-US"/>
        </w:rPr>
      </w:pPr>
      <w:r w:rsidRPr="00C07DEA">
        <w:rPr>
          <w:rFonts w:asciiTheme="minorHAnsi" w:hAnsiTheme="minorHAnsi"/>
          <w:i/>
        </w:rPr>
        <w:t>Vzorec pro výpočet diskontní částky je následující:</w:t>
      </w:r>
      <w:r w:rsidRPr="00C07DEA">
        <w:rPr>
          <w:rFonts w:asciiTheme="minorHAnsi" w:hAnsiTheme="minorHAnsi"/>
          <w:i/>
          <w:lang w:val="en-US"/>
        </w:rPr>
        <w:t xml:space="preserve"> </w:t>
      </w:r>
    </w:p>
    <w:p w14:paraId="38D27DC7" w14:textId="77777777" w:rsidR="00DA3320" w:rsidRPr="00C07DEA" w:rsidRDefault="00DA3320" w:rsidP="00DA3320">
      <w:pPr>
        <w:pStyle w:val="Default"/>
        <w:rPr>
          <w:rFonts w:asciiTheme="minorHAnsi" w:hAnsiTheme="minorHAnsi"/>
          <w:i/>
          <w:lang w:val="en-US"/>
        </w:rPr>
      </w:pPr>
      <w:r w:rsidRPr="00C07DEA">
        <w:rPr>
          <w:rFonts w:asciiTheme="minorHAnsi" w:hAnsiTheme="minorHAnsi"/>
          <w:i/>
          <w:noProof/>
          <w:lang w:val="en-US"/>
        </w:rPr>
        <w:t>RF = (IS x AF)/ YEP</w:t>
      </w:r>
      <w:r w:rsidRPr="00C07DEA">
        <w:rPr>
          <w:rFonts w:asciiTheme="minorHAnsi" w:hAnsiTheme="minorHAnsi"/>
          <w:i/>
          <w:lang w:val="en-US"/>
        </w:rPr>
        <w:t xml:space="preserve"> </w:t>
      </w:r>
    </w:p>
    <w:p w14:paraId="7E3000D3" w14:textId="77777777" w:rsidR="00DA3320" w:rsidRPr="00C07DEA" w:rsidRDefault="00DA3320" w:rsidP="00DA3320">
      <w:pPr>
        <w:pStyle w:val="Default"/>
        <w:rPr>
          <w:rFonts w:asciiTheme="minorHAnsi" w:hAnsiTheme="minorHAnsi"/>
          <w:i/>
          <w:lang w:val="en-US"/>
        </w:rPr>
      </w:pPr>
      <w:r w:rsidRPr="00C07DEA">
        <w:rPr>
          <w:rFonts w:asciiTheme="minorHAnsi" w:hAnsiTheme="minorHAnsi"/>
          <w:i/>
          <w:lang w:val="en-US"/>
        </w:rPr>
        <w:t xml:space="preserve"> </w:t>
      </w:r>
    </w:p>
    <w:p w14:paraId="129C8E13" w14:textId="77777777" w:rsidR="00DA3320" w:rsidRPr="00C07DEA" w:rsidRDefault="00DA3320" w:rsidP="00DA3320">
      <w:pPr>
        <w:pStyle w:val="Default"/>
        <w:rPr>
          <w:rFonts w:asciiTheme="minorHAnsi" w:hAnsiTheme="minorHAnsi"/>
          <w:i/>
          <w:lang w:val="en-US"/>
        </w:rPr>
      </w:pPr>
      <w:r w:rsidRPr="00C07DEA">
        <w:rPr>
          <w:rFonts w:asciiTheme="minorHAnsi" w:hAnsiTheme="minorHAnsi"/>
          <w:i/>
        </w:rPr>
        <w:t>kde:</w:t>
      </w:r>
      <w:r w:rsidRPr="00C07DEA">
        <w:rPr>
          <w:rFonts w:asciiTheme="minorHAnsi" w:hAnsiTheme="minorHAnsi"/>
          <w:i/>
          <w:lang w:val="en-US"/>
        </w:rPr>
        <w:t xml:space="preserve">   </w:t>
      </w:r>
    </w:p>
    <w:p w14:paraId="1B032647" w14:textId="77777777" w:rsidR="00DA3320" w:rsidRPr="00C07DEA" w:rsidRDefault="00DA3320" w:rsidP="00DA3320">
      <w:pPr>
        <w:pStyle w:val="Default"/>
        <w:rPr>
          <w:rFonts w:asciiTheme="minorHAnsi" w:hAnsiTheme="minorHAnsi"/>
          <w:i/>
          <w:lang w:val="en-US"/>
        </w:rPr>
      </w:pPr>
    </w:p>
    <w:p w14:paraId="62E02E2F" w14:textId="77777777" w:rsidR="00DA3320" w:rsidRPr="00C07DEA" w:rsidRDefault="00DA3320" w:rsidP="00DA3320">
      <w:pPr>
        <w:pStyle w:val="Default"/>
        <w:rPr>
          <w:rFonts w:asciiTheme="minorHAnsi" w:hAnsiTheme="minorHAnsi"/>
          <w:i/>
          <w:lang w:val="en-US"/>
        </w:rPr>
      </w:pPr>
      <w:r w:rsidRPr="00C07DEA">
        <w:rPr>
          <w:rFonts w:asciiTheme="minorHAnsi" w:hAnsiTheme="minorHAnsi"/>
          <w:i/>
          <w:noProof/>
        </w:rPr>
        <w:drawing>
          <wp:inline distT="0" distB="0" distL="0" distR="0" wp14:anchorId="0F83F19E" wp14:editId="53D8E70E">
            <wp:extent cx="1792800" cy="685482"/>
            <wp:effectExtent l="0" t="0" r="0" b="635"/>
            <wp:docPr id="39"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7390" cy="706355"/>
                    </a:xfrm>
                    <a:prstGeom prst="rect">
                      <a:avLst/>
                    </a:prstGeom>
                    <a:noFill/>
                    <a:ln>
                      <a:noFill/>
                    </a:ln>
                  </pic:spPr>
                </pic:pic>
              </a:graphicData>
            </a:graphic>
          </wp:inline>
        </w:drawing>
      </w:r>
    </w:p>
    <w:p w14:paraId="4D58AA59" w14:textId="77777777" w:rsidR="00DA3320" w:rsidRPr="00C07DEA" w:rsidRDefault="00DA3320" w:rsidP="00DA3320">
      <w:pPr>
        <w:pStyle w:val="Default"/>
        <w:rPr>
          <w:rFonts w:asciiTheme="minorHAnsi" w:hAnsiTheme="minorHAnsi"/>
          <w:i/>
          <w:lang w:val="en-US"/>
        </w:rPr>
      </w:pPr>
      <w:r w:rsidRPr="00C07DEA">
        <w:rPr>
          <w:rFonts w:asciiTheme="minorHAnsi" w:hAnsiTheme="minorHAnsi"/>
          <w:i/>
          <w:noProof/>
          <w:lang w:val="en-US"/>
        </w:rPr>
        <w:t>YEP = P x UF</w:t>
      </w:r>
    </w:p>
    <w:p w14:paraId="5D8BFA09" w14:textId="77777777" w:rsidR="00DA3320" w:rsidRPr="00C07DEA" w:rsidRDefault="00DA3320" w:rsidP="00DA3320">
      <w:pPr>
        <w:pStyle w:val="Default"/>
        <w:rPr>
          <w:rFonts w:asciiTheme="minorHAnsi" w:hAnsiTheme="minorHAnsi"/>
          <w:i/>
          <w:lang w:val="en-US"/>
        </w:rPr>
      </w:pPr>
    </w:p>
    <w:p w14:paraId="5E042613" w14:textId="77777777" w:rsidR="00DA3320" w:rsidRPr="00C07DEA" w:rsidRDefault="00DA3320" w:rsidP="00DA3320">
      <w:pPr>
        <w:pStyle w:val="Default"/>
        <w:rPr>
          <w:rFonts w:asciiTheme="minorHAnsi" w:hAnsiTheme="minorHAnsi"/>
          <w:i/>
          <w:lang w:val="en-US"/>
        </w:rPr>
      </w:pPr>
      <w:r w:rsidRPr="00C07DEA">
        <w:rPr>
          <w:rFonts w:asciiTheme="minorHAnsi" w:hAnsiTheme="minorHAnsi"/>
          <w:i/>
        </w:rPr>
        <w:t>RF - diskontní částka – redukční faktor (</w:t>
      </w:r>
      <w:r w:rsidRPr="00C07DEA">
        <w:rPr>
          <w:rFonts w:asciiTheme="minorHAnsi" w:hAnsiTheme="minorHAnsi"/>
          <w:b/>
          <w:i/>
        </w:rPr>
        <w:t>Kč/MWh</w:t>
      </w:r>
      <w:r w:rsidRPr="00C07DEA">
        <w:rPr>
          <w:rFonts w:asciiTheme="minorHAnsi" w:hAnsiTheme="minorHAnsi"/>
          <w:i/>
        </w:rPr>
        <w:t>);</w:t>
      </w:r>
      <w:r w:rsidRPr="00C07DEA">
        <w:rPr>
          <w:rFonts w:asciiTheme="minorHAnsi" w:hAnsiTheme="minorHAnsi"/>
          <w:i/>
          <w:lang w:val="en-US"/>
        </w:rPr>
        <w:t xml:space="preserve"> </w:t>
      </w:r>
    </w:p>
    <w:p w14:paraId="60359BF0" w14:textId="77777777" w:rsidR="00DA3320" w:rsidRPr="00C07DEA" w:rsidRDefault="00DA3320" w:rsidP="00DA3320">
      <w:pPr>
        <w:pStyle w:val="Default"/>
        <w:rPr>
          <w:rFonts w:asciiTheme="minorHAnsi" w:hAnsiTheme="minorHAnsi"/>
          <w:i/>
          <w:lang w:val="en-US"/>
        </w:rPr>
      </w:pPr>
      <w:r w:rsidRPr="00C07DEA">
        <w:rPr>
          <w:rFonts w:asciiTheme="minorHAnsi" w:hAnsiTheme="minorHAnsi"/>
          <w:i/>
        </w:rPr>
        <w:t>IS - celková výše investiční podpory přidělená danému projektu (Kč);</w:t>
      </w:r>
      <w:r w:rsidRPr="00C07DEA">
        <w:rPr>
          <w:rFonts w:asciiTheme="minorHAnsi" w:hAnsiTheme="minorHAnsi"/>
          <w:i/>
          <w:lang w:val="en-US"/>
        </w:rPr>
        <w:t xml:space="preserve"> </w:t>
      </w:r>
    </w:p>
    <w:p w14:paraId="03AC3BC1" w14:textId="77777777" w:rsidR="00DA3320" w:rsidRPr="00C07DEA" w:rsidRDefault="00DA3320" w:rsidP="00DA3320">
      <w:pPr>
        <w:pStyle w:val="Default"/>
        <w:rPr>
          <w:rFonts w:asciiTheme="minorHAnsi" w:hAnsiTheme="minorHAnsi"/>
          <w:i/>
          <w:lang w:val="en-US"/>
        </w:rPr>
      </w:pPr>
      <w:r w:rsidRPr="00C07DEA">
        <w:rPr>
          <w:rFonts w:asciiTheme="minorHAnsi" w:hAnsiTheme="minorHAnsi"/>
          <w:i/>
        </w:rPr>
        <w:t>AF - anuitní faktor projektu;</w:t>
      </w:r>
    </w:p>
    <w:p w14:paraId="017D0E5E" w14:textId="77777777" w:rsidR="00DA3320" w:rsidRPr="00C07DEA" w:rsidRDefault="00DA3320" w:rsidP="00DA3320">
      <w:pPr>
        <w:pStyle w:val="Default"/>
        <w:rPr>
          <w:rFonts w:asciiTheme="minorHAnsi" w:hAnsiTheme="minorHAnsi"/>
          <w:i/>
          <w:lang w:val="en-US"/>
        </w:rPr>
      </w:pPr>
      <w:r w:rsidRPr="00C07DEA">
        <w:rPr>
          <w:rFonts w:asciiTheme="minorHAnsi" w:hAnsiTheme="minorHAnsi"/>
          <w:i/>
        </w:rPr>
        <w:t>SP - období, během něhož je provozní podpora přidělována / celé období životnosti zařízení podle vyhlášky č. 296/2015 Sb.</w:t>
      </w:r>
      <w:r w:rsidRPr="00C07DEA">
        <w:rPr>
          <w:rFonts w:asciiTheme="minorHAnsi" w:hAnsiTheme="minorHAnsi"/>
          <w:i/>
          <w:lang w:val="en-US"/>
        </w:rPr>
        <w:t xml:space="preserve"> </w:t>
      </w:r>
      <w:r w:rsidRPr="00C07DEA">
        <w:rPr>
          <w:rFonts w:asciiTheme="minorHAnsi" w:hAnsiTheme="minorHAnsi"/>
          <w:i/>
        </w:rPr>
        <w:t>– dotační období;</w:t>
      </w:r>
      <w:r w:rsidRPr="00C07DEA">
        <w:rPr>
          <w:rFonts w:asciiTheme="minorHAnsi" w:hAnsiTheme="minorHAnsi"/>
          <w:i/>
          <w:lang w:val="en-US"/>
        </w:rPr>
        <w:br/>
      </w:r>
      <w:r w:rsidRPr="00C07DEA">
        <w:rPr>
          <w:rFonts w:asciiTheme="minorHAnsi" w:hAnsiTheme="minorHAnsi"/>
          <w:i/>
        </w:rPr>
        <w:t>IRR - míra návratnosti projektu (%);</w:t>
      </w:r>
    </w:p>
    <w:p w14:paraId="359CE8EB" w14:textId="77777777" w:rsidR="00DA3320" w:rsidRPr="00C07DEA" w:rsidRDefault="00DA3320" w:rsidP="00DA3320">
      <w:pPr>
        <w:pStyle w:val="Default"/>
        <w:rPr>
          <w:rFonts w:asciiTheme="minorHAnsi" w:hAnsiTheme="minorHAnsi"/>
          <w:i/>
          <w:lang w:val="en-US"/>
        </w:rPr>
      </w:pPr>
      <w:r w:rsidRPr="00C07DEA">
        <w:rPr>
          <w:rFonts w:asciiTheme="minorHAnsi" w:hAnsiTheme="minorHAnsi"/>
          <w:i/>
        </w:rPr>
        <w:t>YEP - očekávaný roční objem výroby elektřiny (MWh);</w:t>
      </w:r>
      <w:r w:rsidRPr="00C07DEA">
        <w:rPr>
          <w:rFonts w:asciiTheme="minorHAnsi" w:hAnsiTheme="minorHAnsi"/>
          <w:i/>
          <w:lang w:val="en-US"/>
        </w:rPr>
        <w:t xml:space="preserve"> </w:t>
      </w:r>
    </w:p>
    <w:p w14:paraId="5FA03EC3" w14:textId="77777777" w:rsidR="00DA3320" w:rsidRPr="00C07DEA" w:rsidRDefault="00DA3320" w:rsidP="00DA3320">
      <w:pPr>
        <w:pStyle w:val="Default"/>
        <w:rPr>
          <w:rFonts w:asciiTheme="minorHAnsi" w:hAnsiTheme="minorHAnsi"/>
          <w:i/>
          <w:lang w:val="en-US"/>
        </w:rPr>
      </w:pPr>
      <w:r w:rsidRPr="00C07DEA">
        <w:rPr>
          <w:rFonts w:asciiTheme="minorHAnsi" w:hAnsiTheme="minorHAnsi"/>
          <w:i/>
        </w:rPr>
        <w:t>P - instalovaný výkon zařízení (MW);</w:t>
      </w:r>
      <w:r w:rsidRPr="00C07DEA">
        <w:rPr>
          <w:rFonts w:asciiTheme="minorHAnsi" w:hAnsiTheme="minorHAnsi"/>
          <w:i/>
          <w:lang w:val="en-US"/>
        </w:rPr>
        <w:t xml:space="preserve"> </w:t>
      </w:r>
    </w:p>
    <w:p w14:paraId="21949768" w14:textId="77777777" w:rsidR="00DA3320" w:rsidRPr="00C07DEA" w:rsidRDefault="00DA3320" w:rsidP="00DA3320">
      <w:pPr>
        <w:pStyle w:val="Default"/>
        <w:rPr>
          <w:rFonts w:asciiTheme="minorHAnsi" w:hAnsiTheme="minorHAnsi"/>
          <w:i/>
          <w:lang w:val="en-US"/>
        </w:rPr>
      </w:pPr>
      <w:r w:rsidRPr="00C07DEA">
        <w:rPr>
          <w:rFonts w:asciiTheme="minorHAnsi" w:hAnsiTheme="minorHAnsi"/>
          <w:i/>
        </w:rPr>
        <w:t>UF - využití výrobní kapacity za rok (h) – faktor využití.</w:t>
      </w:r>
      <w:r w:rsidRPr="00C07DEA">
        <w:rPr>
          <w:rFonts w:asciiTheme="minorHAnsi" w:hAnsiTheme="minorHAnsi"/>
          <w:i/>
          <w:lang w:val="en-US"/>
        </w:rPr>
        <w:t xml:space="preserve">  </w:t>
      </w:r>
    </w:p>
    <w:p w14:paraId="5C813F14" w14:textId="77777777" w:rsidR="00DA3320" w:rsidRPr="00C07DEA" w:rsidRDefault="00DA3320" w:rsidP="00DA3320">
      <w:pPr>
        <w:pStyle w:val="Default"/>
        <w:jc w:val="both"/>
        <w:rPr>
          <w:rFonts w:asciiTheme="minorHAnsi" w:hAnsiTheme="minorHAnsi"/>
          <w:i/>
        </w:rPr>
      </w:pPr>
    </w:p>
    <w:p w14:paraId="655DDB59" w14:textId="77777777" w:rsidR="00DA3320" w:rsidRPr="00C07DEA" w:rsidRDefault="00DA3320" w:rsidP="00DA3320">
      <w:pPr>
        <w:pStyle w:val="Default"/>
        <w:numPr>
          <w:ilvl w:val="0"/>
          <w:numId w:val="57"/>
        </w:numPr>
        <w:ind w:left="284" w:hanging="284"/>
        <w:jc w:val="both"/>
        <w:rPr>
          <w:rFonts w:asciiTheme="minorHAnsi" w:hAnsiTheme="minorHAnsi"/>
          <w:i/>
          <w:lang w:val="en-US"/>
        </w:rPr>
      </w:pPr>
      <w:r w:rsidRPr="00C07DEA">
        <w:rPr>
          <w:rFonts w:asciiTheme="minorHAnsi" w:hAnsiTheme="minorHAnsi"/>
          <w:i/>
        </w:rPr>
        <w:t>Vzorec pro výpočet diskontní částky umožňuje odpočet veškeré investiční podpory, kterou příjemci v rámci oznámeného režimu získali, a to v její plné výši.</w:t>
      </w:r>
      <w:r w:rsidRPr="00C07DEA">
        <w:rPr>
          <w:rFonts w:asciiTheme="minorHAnsi" w:hAnsiTheme="minorHAnsi"/>
          <w:i/>
          <w:lang w:val="en-US"/>
        </w:rPr>
        <w:t xml:space="preserve"> </w:t>
      </w:r>
    </w:p>
    <w:p w14:paraId="5CB4D38D" w14:textId="77777777" w:rsidR="00DA3320" w:rsidRPr="00C07DEA" w:rsidRDefault="00DA3320" w:rsidP="00DA3320">
      <w:pPr>
        <w:pStyle w:val="Default"/>
        <w:numPr>
          <w:ilvl w:val="0"/>
          <w:numId w:val="57"/>
        </w:numPr>
        <w:ind w:left="284" w:hanging="284"/>
        <w:jc w:val="both"/>
        <w:rPr>
          <w:rFonts w:asciiTheme="minorHAnsi" w:hAnsiTheme="minorHAnsi"/>
          <w:i/>
          <w:lang w:val="en-US"/>
        </w:rPr>
      </w:pPr>
      <w:r w:rsidRPr="00C07DEA">
        <w:rPr>
          <w:rFonts w:asciiTheme="minorHAnsi" w:hAnsiTheme="minorHAnsi"/>
          <w:i/>
        </w:rPr>
        <w:t>České orgány zajistily, aby s podporou přidělenou v rámci oznámeného režimu nebylo možné kumulovat žádnou jinou provozní podporu.</w:t>
      </w:r>
      <w:r w:rsidRPr="00C07DEA">
        <w:rPr>
          <w:rFonts w:asciiTheme="minorHAnsi" w:hAnsiTheme="minorHAnsi"/>
          <w:i/>
          <w:lang w:val="en-US"/>
        </w:rPr>
        <w:t xml:space="preserve"> </w:t>
      </w:r>
    </w:p>
    <w:p w14:paraId="2024A97B" w14:textId="77777777" w:rsidR="00DA3320" w:rsidRPr="00C07DEA" w:rsidRDefault="00DA3320" w:rsidP="00DA3320">
      <w:pPr>
        <w:pStyle w:val="Default"/>
        <w:numPr>
          <w:ilvl w:val="0"/>
          <w:numId w:val="57"/>
        </w:numPr>
        <w:spacing w:after="260"/>
        <w:ind w:left="284" w:hanging="284"/>
        <w:jc w:val="both"/>
        <w:rPr>
          <w:rFonts w:asciiTheme="minorHAnsi" w:hAnsiTheme="minorHAnsi"/>
          <w:i/>
          <w:lang w:val="en-US"/>
        </w:rPr>
      </w:pPr>
      <w:r w:rsidRPr="00C07DEA">
        <w:rPr>
          <w:rFonts w:asciiTheme="minorHAnsi" w:hAnsiTheme="minorHAnsi"/>
          <w:i/>
        </w:rPr>
        <w:t>České orgány zajistí, aby byly vedeny a uchovávány podrobné záznamy o všech opatřeních zahrnujících udělení podpory.</w:t>
      </w:r>
      <w:r w:rsidRPr="00C07DEA">
        <w:rPr>
          <w:rFonts w:asciiTheme="minorHAnsi" w:hAnsiTheme="minorHAnsi"/>
          <w:i/>
          <w:lang w:val="en-US"/>
        </w:rPr>
        <w:t xml:space="preserve"> </w:t>
      </w:r>
      <w:r w:rsidRPr="00C07DEA">
        <w:rPr>
          <w:rFonts w:asciiTheme="minorHAnsi" w:hAnsiTheme="minorHAnsi"/>
          <w:i/>
        </w:rPr>
        <w:t>Tyto záznamy budou vedeny po dobu trvání režimu a zůstanou uchovány po dobu dalších deseti let a budou obsahovat veškeré informace, které jsou důležité jako doklad o plnění podmínek navrhovaného režimu.</w:t>
      </w:r>
      <w:r w:rsidRPr="00C07DEA">
        <w:rPr>
          <w:rFonts w:asciiTheme="minorHAnsi" w:hAnsiTheme="minorHAnsi"/>
          <w:i/>
          <w:lang w:val="en-US"/>
        </w:rPr>
        <w:t xml:space="preserve"> </w:t>
      </w:r>
    </w:p>
    <w:p w14:paraId="3986A4AF" w14:textId="77777777" w:rsidR="00DA3320" w:rsidRDefault="00DA3320" w:rsidP="00DA3320">
      <w:pPr>
        <w:pStyle w:val="Normlnweb"/>
        <w:spacing w:before="0" w:beforeAutospacing="0" w:after="0" w:afterAutospacing="0" w:line="276" w:lineRule="auto"/>
        <w:jc w:val="both"/>
        <w:rPr>
          <w:rFonts w:asciiTheme="minorHAnsi" w:hAnsiTheme="minorHAnsi"/>
          <w:i/>
          <w:sz w:val="20"/>
          <w:szCs w:val="20"/>
        </w:rPr>
      </w:pPr>
    </w:p>
    <w:p w14:paraId="559E3EB3" w14:textId="77777777" w:rsidR="00DA3320" w:rsidRDefault="00DA3320" w:rsidP="00DA3320">
      <w:pPr>
        <w:pStyle w:val="Normlnweb"/>
        <w:spacing w:before="0" w:beforeAutospacing="0" w:after="0" w:afterAutospacing="0" w:line="276" w:lineRule="auto"/>
        <w:jc w:val="center"/>
        <w:rPr>
          <w:rFonts w:asciiTheme="minorHAnsi" w:eastAsia="TimesNewRoman" w:hAnsiTheme="minorHAnsi" w:cs="TimesNewRoman"/>
          <w:i/>
          <w:sz w:val="26"/>
          <w:szCs w:val="26"/>
          <w:u w:val="single"/>
        </w:rPr>
      </w:pPr>
    </w:p>
    <w:p w14:paraId="739CF72D" w14:textId="77777777" w:rsidR="00C07DEA" w:rsidRDefault="00C07DEA" w:rsidP="00DA3320">
      <w:pPr>
        <w:pStyle w:val="Normlnweb"/>
        <w:spacing w:before="0" w:beforeAutospacing="0" w:after="0" w:afterAutospacing="0" w:line="276" w:lineRule="auto"/>
        <w:jc w:val="center"/>
        <w:rPr>
          <w:rFonts w:asciiTheme="minorHAnsi" w:eastAsia="TimesNewRoman" w:hAnsiTheme="minorHAnsi" w:cs="TimesNewRoman"/>
          <w:i/>
          <w:sz w:val="26"/>
          <w:szCs w:val="26"/>
          <w:u w:val="single"/>
        </w:rPr>
      </w:pPr>
    </w:p>
    <w:p w14:paraId="67C36923" w14:textId="77777777" w:rsidR="00C07DEA" w:rsidRDefault="00C07DEA" w:rsidP="00DA3320">
      <w:pPr>
        <w:pStyle w:val="Normlnweb"/>
        <w:spacing w:before="0" w:beforeAutospacing="0" w:after="0" w:afterAutospacing="0" w:line="276" w:lineRule="auto"/>
        <w:jc w:val="center"/>
        <w:rPr>
          <w:rFonts w:asciiTheme="minorHAnsi" w:eastAsia="TimesNewRoman" w:hAnsiTheme="minorHAnsi" w:cs="TimesNewRoman"/>
          <w:i/>
          <w:sz w:val="26"/>
          <w:szCs w:val="26"/>
          <w:u w:val="single"/>
        </w:rPr>
      </w:pPr>
    </w:p>
    <w:p w14:paraId="4EA56437" w14:textId="77777777" w:rsidR="00C07DEA" w:rsidRDefault="00C07DEA" w:rsidP="00DA3320">
      <w:pPr>
        <w:pStyle w:val="Normlnweb"/>
        <w:spacing w:before="0" w:beforeAutospacing="0" w:after="0" w:afterAutospacing="0" w:line="276" w:lineRule="auto"/>
        <w:jc w:val="center"/>
        <w:rPr>
          <w:rFonts w:asciiTheme="minorHAnsi" w:eastAsia="TimesNewRoman" w:hAnsiTheme="minorHAnsi" w:cs="TimesNewRoman"/>
          <w:i/>
          <w:sz w:val="26"/>
          <w:szCs w:val="26"/>
          <w:u w:val="single"/>
        </w:rPr>
      </w:pPr>
    </w:p>
    <w:p w14:paraId="3A027F87" w14:textId="77777777" w:rsidR="00C07DEA" w:rsidRDefault="00C07DEA" w:rsidP="00DA3320">
      <w:pPr>
        <w:pStyle w:val="Normlnweb"/>
        <w:spacing w:before="0" w:beforeAutospacing="0" w:after="0" w:afterAutospacing="0" w:line="276" w:lineRule="auto"/>
        <w:jc w:val="center"/>
        <w:rPr>
          <w:rFonts w:asciiTheme="minorHAnsi" w:eastAsia="TimesNewRoman" w:hAnsiTheme="minorHAnsi" w:cs="TimesNewRoman"/>
          <w:i/>
          <w:sz w:val="26"/>
          <w:szCs w:val="26"/>
          <w:u w:val="single"/>
        </w:rPr>
      </w:pPr>
    </w:p>
    <w:p w14:paraId="0CE326F4" w14:textId="77777777" w:rsidR="00C07DEA" w:rsidRDefault="00C07DEA" w:rsidP="00DA3320">
      <w:pPr>
        <w:pStyle w:val="Normlnweb"/>
        <w:spacing w:before="0" w:beforeAutospacing="0" w:after="0" w:afterAutospacing="0" w:line="276" w:lineRule="auto"/>
        <w:jc w:val="center"/>
        <w:rPr>
          <w:rFonts w:asciiTheme="minorHAnsi" w:eastAsia="TimesNewRoman" w:hAnsiTheme="minorHAnsi" w:cs="TimesNewRoman"/>
          <w:i/>
          <w:sz w:val="26"/>
          <w:szCs w:val="26"/>
          <w:u w:val="single"/>
        </w:rPr>
      </w:pPr>
    </w:p>
    <w:p w14:paraId="32D83497" w14:textId="6176BF9D" w:rsidR="00DA3320" w:rsidRPr="00C07DEA" w:rsidRDefault="00DA3320" w:rsidP="00DA3320">
      <w:pPr>
        <w:pStyle w:val="Normlnweb"/>
        <w:spacing w:before="0" w:beforeAutospacing="0" w:after="0" w:afterAutospacing="0"/>
        <w:jc w:val="both"/>
        <w:rPr>
          <w:rFonts w:asciiTheme="minorHAnsi" w:hAnsiTheme="minorHAnsi"/>
          <w:b/>
          <w:u w:val="single"/>
        </w:rPr>
      </w:pPr>
      <w:r w:rsidRPr="00C07DEA">
        <w:rPr>
          <w:rFonts w:asciiTheme="minorHAnsi" w:hAnsiTheme="minorHAnsi"/>
          <w:b/>
        </w:rPr>
        <w:t xml:space="preserve">D)    </w:t>
      </w:r>
      <w:r w:rsidRPr="00C07DEA">
        <w:rPr>
          <w:rFonts w:asciiTheme="minorHAnsi" w:hAnsiTheme="minorHAnsi"/>
          <w:b/>
          <w:u w:val="single"/>
        </w:rPr>
        <w:t>Závazek uvedený v  rozhodnutí Evropské komise SA.43451 (2015/N):</w:t>
      </w:r>
    </w:p>
    <w:p w14:paraId="2B665D59" w14:textId="77777777" w:rsidR="00DA3320" w:rsidRPr="00C07DEA" w:rsidRDefault="00DA3320" w:rsidP="00DA3320">
      <w:pPr>
        <w:pStyle w:val="Normlnweb"/>
        <w:spacing w:before="0" w:beforeAutospacing="0" w:after="0" w:afterAutospacing="0" w:line="276" w:lineRule="auto"/>
        <w:jc w:val="center"/>
        <w:rPr>
          <w:rFonts w:asciiTheme="minorHAnsi" w:hAnsiTheme="minorHAnsi"/>
          <w:sz w:val="26"/>
          <w:szCs w:val="26"/>
          <w:u w:val="single"/>
        </w:rPr>
      </w:pPr>
    </w:p>
    <w:p w14:paraId="1117E6AB" w14:textId="77777777" w:rsidR="00DA3320" w:rsidRPr="00C07DEA" w:rsidRDefault="00DA3320" w:rsidP="00DA3320">
      <w:pPr>
        <w:pStyle w:val="Default"/>
        <w:numPr>
          <w:ilvl w:val="0"/>
          <w:numId w:val="56"/>
        </w:numPr>
        <w:spacing w:before="100" w:beforeAutospacing="1" w:after="100" w:afterAutospacing="1" w:line="276" w:lineRule="auto"/>
        <w:ind w:left="284" w:hanging="284"/>
        <w:jc w:val="both"/>
        <w:rPr>
          <w:rFonts w:asciiTheme="minorHAnsi" w:hAnsiTheme="minorHAnsi"/>
          <w:i/>
          <w:lang w:val="en-US"/>
        </w:rPr>
      </w:pPr>
      <w:r w:rsidRPr="00C07DEA">
        <w:rPr>
          <w:rFonts w:asciiTheme="minorHAnsi" w:hAnsiTheme="minorHAnsi"/>
          <w:i/>
        </w:rPr>
        <w:t>Kumulace investiční podpory s provozní podporou poskytovanou v rámci oznámeného režimu se řeší za pomoci odlišného vzorce pro výpočet částky (Kč/GJ), o kterou by se použitelné pevně stanovené výkupní prémie měly snížit, aby byla zohledněna veškerá poskytnutá investiční podpora.</w:t>
      </w:r>
      <w:r w:rsidRPr="00C07DEA">
        <w:rPr>
          <w:rFonts w:asciiTheme="minorHAnsi" w:hAnsiTheme="minorHAnsi"/>
          <w:i/>
          <w:lang w:val="en-US"/>
        </w:rPr>
        <w:t xml:space="preserve"> </w:t>
      </w:r>
    </w:p>
    <w:p w14:paraId="5CF8DE99" w14:textId="77777777" w:rsidR="00DA3320" w:rsidRPr="00C07DEA" w:rsidRDefault="00DA3320" w:rsidP="00DA3320">
      <w:pPr>
        <w:pStyle w:val="Default"/>
        <w:numPr>
          <w:ilvl w:val="0"/>
          <w:numId w:val="56"/>
        </w:numPr>
        <w:spacing w:before="100" w:beforeAutospacing="1" w:after="100" w:afterAutospacing="1" w:line="276" w:lineRule="auto"/>
        <w:ind w:left="284" w:hanging="284"/>
        <w:jc w:val="both"/>
        <w:rPr>
          <w:rFonts w:asciiTheme="minorHAnsi" w:hAnsiTheme="minorHAnsi"/>
          <w:i/>
          <w:lang w:val="en-US"/>
        </w:rPr>
      </w:pPr>
      <w:r w:rsidRPr="00C07DEA">
        <w:rPr>
          <w:rFonts w:asciiTheme="minorHAnsi" w:hAnsiTheme="minorHAnsi"/>
          <w:i/>
        </w:rPr>
        <w:t>Vzorec pro výpočet diskontní částky je následující:</w:t>
      </w:r>
    </w:p>
    <w:p w14:paraId="5280816D" w14:textId="77777777" w:rsidR="00DA3320" w:rsidRPr="00C07DEA" w:rsidRDefault="00DA3320" w:rsidP="00DA3320">
      <w:pPr>
        <w:pStyle w:val="Default"/>
        <w:jc w:val="both"/>
        <w:rPr>
          <w:rFonts w:asciiTheme="minorHAnsi" w:hAnsiTheme="minorHAnsi"/>
          <w:i/>
          <w:lang w:val="en-US"/>
        </w:rPr>
      </w:pPr>
      <w:r w:rsidRPr="00C07DEA">
        <w:rPr>
          <w:rFonts w:asciiTheme="minorHAnsi" w:hAnsiTheme="minorHAnsi"/>
          <w:i/>
          <w:lang w:val="en-US"/>
        </w:rPr>
        <w:t xml:space="preserve">                               </w:t>
      </w:r>
      <w:r w:rsidRPr="00C07DEA">
        <w:rPr>
          <w:rFonts w:asciiTheme="minorHAnsi" w:hAnsiTheme="minorHAnsi"/>
          <w:i/>
        </w:rPr>
        <w:t>RF = (IS x AF)/ YEP</w:t>
      </w:r>
    </w:p>
    <w:p w14:paraId="26F21761" w14:textId="77777777" w:rsidR="00DA3320" w:rsidRPr="00C07DEA" w:rsidRDefault="00DA3320" w:rsidP="00DA3320">
      <w:pPr>
        <w:pStyle w:val="Default"/>
        <w:jc w:val="both"/>
        <w:rPr>
          <w:rFonts w:asciiTheme="minorHAnsi" w:hAnsiTheme="minorHAnsi"/>
          <w:i/>
          <w:lang w:val="en-US"/>
        </w:rPr>
      </w:pPr>
      <w:r w:rsidRPr="00C07DEA">
        <w:rPr>
          <w:rFonts w:asciiTheme="minorHAnsi" w:hAnsiTheme="minorHAnsi"/>
          <w:i/>
          <w:lang w:val="en-US"/>
        </w:rPr>
        <w:t xml:space="preserve"> </w:t>
      </w:r>
    </w:p>
    <w:p w14:paraId="3077A37B" w14:textId="77777777" w:rsidR="00DA3320" w:rsidRPr="00C07DEA" w:rsidRDefault="00DA3320" w:rsidP="00DA3320">
      <w:pPr>
        <w:pStyle w:val="Default"/>
        <w:jc w:val="both"/>
        <w:rPr>
          <w:rFonts w:asciiTheme="minorHAnsi" w:hAnsiTheme="minorHAnsi"/>
          <w:i/>
          <w:lang w:val="en-US"/>
        </w:rPr>
      </w:pPr>
      <w:r w:rsidRPr="00C07DEA">
        <w:rPr>
          <w:rFonts w:asciiTheme="minorHAnsi" w:hAnsiTheme="minorHAnsi"/>
          <w:i/>
        </w:rPr>
        <w:t>kde:</w:t>
      </w:r>
      <w:r w:rsidRPr="00C07DEA">
        <w:rPr>
          <w:rFonts w:asciiTheme="minorHAnsi" w:hAnsiTheme="minorHAnsi"/>
          <w:i/>
          <w:lang w:val="en-US"/>
        </w:rPr>
        <w:t xml:space="preserve"> </w:t>
      </w:r>
    </w:p>
    <w:p w14:paraId="78C764D8" w14:textId="77777777" w:rsidR="00DA3320" w:rsidRPr="00C07DEA" w:rsidRDefault="00DA3320" w:rsidP="00DA3320">
      <w:pPr>
        <w:pStyle w:val="Default"/>
        <w:jc w:val="both"/>
        <w:rPr>
          <w:rFonts w:asciiTheme="minorHAnsi" w:hAnsiTheme="minorHAnsi"/>
          <w:i/>
          <w:lang w:val="en-US"/>
        </w:rPr>
      </w:pPr>
      <w:r w:rsidRPr="00C07DEA">
        <w:rPr>
          <w:rFonts w:asciiTheme="minorHAnsi" w:hAnsiTheme="minorHAnsi"/>
          <w:i/>
          <w:noProof/>
        </w:rPr>
        <w:drawing>
          <wp:inline distT="0" distB="0" distL="0" distR="0" wp14:anchorId="4324E7D1" wp14:editId="79DE0DB2">
            <wp:extent cx="1936800" cy="715738"/>
            <wp:effectExtent l="0" t="0" r="6350" b="8255"/>
            <wp:docPr id="4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5961" cy="726514"/>
                    </a:xfrm>
                    <a:prstGeom prst="rect">
                      <a:avLst/>
                    </a:prstGeom>
                    <a:noFill/>
                    <a:ln>
                      <a:noFill/>
                    </a:ln>
                  </pic:spPr>
                </pic:pic>
              </a:graphicData>
            </a:graphic>
          </wp:inline>
        </w:drawing>
      </w:r>
    </w:p>
    <w:p w14:paraId="1474B765" w14:textId="77777777" w:rsidR="00DA3320" w:rsidRPr="00C07DEA" w:rsidRDefault="00DA3320" w:rsidP="00DA3320">
      <w:pPr>
        <w:pStyle w:val="Default"/>
        <w:jc w:val="both"/>
        <w:rPr>
          <w:rFonts w:asciiTheme="minorHAnsi" w:hAnsiTheme="minorHAnsi"/>
          <w:i/>
          <w:lang w:val="en-US"/>
        </w:rPr>
      </w:pPr>
      <w:r w:rsidRPr="00C07DEA">
        <w:rPr>
          <w:rFonts w:asciiTheme="minorHAnsi" w:hAnsiTheme="minorHAnsi"/>
          <w:i/>
        </w:rPr>
        <w:t>YEP = Pinst x UF</w:t>
      </w:r>
      <w:r w:rsidRPr="00C07DEA">
        <w:rPr>
          <w:rFonts w:asciiTheme="minorHAnsi" w:hAnsiTheme="minorHAnsi"/>
          <w:i/>
          <w:lang w:val="en-US"/>
        </w:rPr>
        <w:t xml:space="preserve">  </w:t>
      </w:r>
    </w:p>
    <w:p w14:paraId="5CAC5A28" w14:textId="77777777" w:rsidR="00DA3320" w:rsidRPr="00C07DEA" w:rsidRDefault="00DA3320" w:rsidP="00DA3320">
      <w:pPr>
        <w:pStyle w:val="Default"/>
        <w:jc w:val="both"/>
        <w:rPr>
          <w:rFonts w:asciiTheme="minorHAnsi" w:hAnsiTheme="minorHAnsi"/>
          <w:i/>
          <w:lang w:val="en-US"/>
        </w:rPr>
      </w:pPr>
      <w:r w:rsidRPr="00C07DEA">
        <w:rPr>
          <w:rFonts w:asciiTheme="minorHAnsi" w:hAnsiTheme="minorHAnsi"/>
          <w:i/>
        </w:rPr>
        <w:t>RF - diskontní částka – redukční faktor (</w:t>
      </w:r>
      <w:r w:rsidRPr="00C07DEA">
        <w:rPr>
          <w:rFonts w:asciiTheme="minorHAnsi" w:hAnsiTheme="minorHAnsi"/>
          <w:b/>
          <w:i/>
        </w:rPr>
        <w:t>Kč/GJ</w:t>
      </w:r>
      <w:r w:rsidRPr="00C07DEA">
        <w:rPr>
          <w:rFonts w:asciiTheme="minorHAnsi" w:hAnsiTheme="minorHAnsi"/>
          <w:i/>
        </w:rPr>
        <w:t>);</w:t>
      </w:r>
      <w:r w:rsidRPr="00C07DEA">
        <w:rPr>
          <w:rFonts w:asciiTheme="minorHAnsi" w:hAnsiTheme="minorHAnsi"/>
          <w:i/>
          <w:lang w:val="en-US"/>
        </w:rPr>
        <w:t xml:space="preserve"> </w:t>
      </w:r>
    </w:p>
    <w:p w14:paraId="5B0BA0C6" w14:textId="77777777" w:rsidR="00DA3320" w:rsidRPr="00C07DEA" w:rsidRDefault="00DA3320" w:rsidP="00DA3320">
      <w:pPr>
        <w:pStyle w:val="Default"/>
        <w:jc w:val="both"/>
        <w:rPr>
          <w:rFonts w:asciiTheme="minorHAnsi" w:hAnsiTheme="minorHAnsi"/>
          <w:i/>
          <w:lang w:val="en-US"/>
        </w:rPr>
      </w:pPr>
      <w:r w:rsidRPr="00C07DEA">
        <w:rPr>
          <w:rFonts w:asciiTheme="minorHAnsi" w:hAnsiTheme="minorHAnsi"/>
          <w:i/>
        </w:rPr>
        <w:t>IS - celková výše investiční podpory přidělená danému projektu (Kč);</w:t>
      </w:r>
      <w:r w:rsidRPr="00C07DEA">
        <w:rPr>
          <w:rFonts w:asciiTheme="minorHAnsi" w:hAnsiTheme="minorHAnsi"/>
          <w:i/>
          <w:lang w:val="en-US"/>
        </w:rPr>
        <w:t xml:space="preserve"> </w:t>
      </w:r>
    </w:p>
    <w:p w14:paraId="6823A983" w14:textId="77777777" w:rsidR="00DA3320" w:rsidRPr="00C07DEA" w:rsidRDefault="00DA3320" w:rsidP="00DA3320">
      <w:pPr>
        <w:pStyle w:val="Default"/>
        <w:jc w:val="both"/>
        <w:rPr>
          <w:rFonts w:asciiTheme="minorHAnsi" w:hAnsiTheme="minorHAnsi"/>
          <w:i/>
          <w:lang w:val="en-US"/>
        </w:rPr>
      </w:pPr>
      <w:r w:rsidRPr="00C07DEA">
        <w:rPr>
          <w:rFonts w:asciiTheme="minorHAnsi" w:hAnsiTheme="minorHAnsi"/>
          <w:i/>
        </w:rPr>
        <w:t>AF - anuitní faktor projektu;</w:t>
      </w:r>
      <w:r w:rsidRPr="00C07DEA">
        <w:rPr>
          <w:rFonts w:asciiTheme="minorHAnsi" w:hAnsiTheme="minorHAnsi"/>
          <w:i/>
          <w:lang w:val="en-US"/>
        </w:rPr>
        <w:t xml:space="preserve"> </w:t>
      </w:r>
    </w:p>
    <w:p w14:paraId="3B2B01C6" w14:textId="77777777" w:rsidR="00DA3320" w:rsidRPr="00C07DEA" w:rsidRDefault="00DA3320" w:rsidP="00DA3320">
      <w:pPr>
        <w:pStyle w:val="Default"/>
        <w:jc w:val="both"/>
        <w:rPr>
          <w:rFonts w:asciiTheme="minorHAnsi" w:hAnsiTheme="minorHAnsi"/>
          <w:i/>
          <w:lang w:val="en-US"/>
        </w:rPr>
      </w:pPr>
      <w:r w:rsidRPr="00C07DEA">
        <w:rPr>
          <w:rFonts w:asciiTheme="minorHAnsi" w:hAnsiTheme="minorHAnsi"/>
          <w:i/>
        </w:rPr>
        <w:t>SP - období, během něhož je provozní podpora přidělována / celé období životnosti zařízení podle vyhlášky č. 296/2015 Sb.</w:t>
      </w:r>
      <w:r w:rsidRPr="00C07DEA">
        <w:rPr>
          <w:rFonts w:asciiTheme="minorHAnsi" w:hAnsiTheme="minorHAnsi"/>
          <w:i/>
          <w:lang w:val="en-US"/>
        </w:rPr>
        <w:t xml:space="preserve"> </w:t>
      </w:r>
      <w:r w:rsidRPr="00C07DEA">
        <w:rPr>
          <w:rFonts w:asciiTheme="minorHAnsi" w:hAnsiTheme="minorHAnsi"/>
          <w:i/>
        </w:rPr>
        <w:t>– dotační období;</w:t>
      </w:r>
      <w:r w:rsidRPr="00C07DEA">
        <w:rPr>
          <w:rFonts w:asciiTheme="minorHAnsi" w:hAnsiTheme="minorHAnsi"/>
          <w:i/>
          <w:lang w:val="en-US"/>
        </w:rPr>
        <w:t xml:space="preserve"> </w:t>
      </w:r>
    </w:p>
    <w:p w14:paraId="7BEFD414" w14:textId="77777777" w:rsidR="00DA3320" w:rsidRPr="00C07DEA" w:rsidRDefault="00DA3320" w:rsidP="00DA3320">
      <w:pPr>
        <w:pStyle w:val="Default"/>
        <w:jc w:val="both"/>
        <w:rPr>
          <w:rFonts w:asciiTheme="minorHAnsi" w:hAnsiTheme="minorHAnsi"/>
          <w:i/>
          <w:lang w:val="en-US"/>
        </w:rPr>
      </w:pPr>
      <w:r w:rsidRPr="00C07DEA">
        <w:rPr>
          <w:rFonts w:asciiTheme="minorHAnsi" w:hAnsiTheme="minorHAnsi"/>
          <w:i/>
        </w:rPr>
        <w:t>IRR - míra návratnosti projektu (%);</w:t>
      </w:r>
      <w:r w:rsidRPr="00C07DEA">
        <w:rPr>
          <w:rFonts w:asciiTheme="minorHAnsi" w:hAnsiTheme="minorHAnsi"/>
          <w:i/>
          <w:lang w:val="en-US"/>
        </w:rPr>
        <w:t xml:space="preserve"> </w:t>
      </w:r>
    </w:p>
    <w:p w14:paraId="3AA80A96" w14:textId="77777777" w:rsidR="00DA3320" w:rsidRPr="00C07DEA" w:rsidRDefault="00DA3320" w:rsidP="00DA3320">
      <w:pPr>
        <w:pStyle w:val="Default"/>
        <w:jc w:val="both"/>
        <w:rPr>
          <w:rFonts w:asciiTheme="minorHAnsi" w:hAnsiTheme="minorHAnsi"/>
          <w:i/>
          <w:lang w:val="en-US"/>
        </w:rPr>
      </w:pPr>
      <w:r w:rsidRPr="00C07DEA">
        <w:rPr>
          <w:rFonts w:asciiTheme="minorHAnsi" w:hAnsiTheme="minorHAnsi"/>
          <w:i/>
        </w:rPr>
        <w:t>YEP - očekávaný roční objem výroby energie (GJ);</w:t>
      </w:r>
      <w:r w:rsidRPr="00C07DEA">
        <w:rPr>
          <w:rFonts w:asciiTheme="minorHAnsi" w:hAnsiTheme="minorHAnsi"/>
          <w:i/>
          <w:lang w:val="en-US"/>
        </w:rPr>
        <w:t xml:space="preserve"> </w:t>
      </w:r>
    </w:p>
    <w:p w14:paraId="5BAAF821" w14:textId="77777777" w:rsidR="00DA3320" w:rsidRPr="00C07DEA" w:rsidRDefault="00DA3320" w:rsidP="00DA3320">
      <w:pPr>
        <w:pStyle w:val="Default"/>
        <w:jc w:val="both"/>
        <w:rPr>
          <w:rFonts w:asciiTheme="minorHAnsi" w:hAnsiTheme="minorHAnsi"/>
          <w:i/>
          <w:lang w:val="en-US"/>
        </w:rPr>
      </w:pPr>
      <w:r w:rsidRPr="00C07DEA">
        <w:rPr>
          <w:rFonts w:asciiTheme="minorHAnsi" w:hAnsiTheme="minorHAnsi"/>
          <w:i/>
        </w:rPr>
        <w:t>Pinst - instalovaný výkon zařízení (MW);</w:t>
      </w:r>
    </w:p>
    <w:p w14:paraId="48FDE972" w14:textId="77777777" w:rsidR="00DA3320" w:rsidRPr="00C07DEA" w:rsidRDefault="00DA3320" w:rsidP="00DA3320">
      <w:pPr>
        <w:pStyle w:val="Default"/>
        <w:jc w:val="both"/>
        <w:rPr>
          <w:rFonts w:asciiTheme="minorHAnsi" w:hAnsiTheme="minorHAnsi"/>
          <w:i/>
          <w:lang w:val="en-US"/>
        </w:rPr>
      </w:pPr>
      <w:r w:rsidRPr="00C07DEA">
        <w:rPr>
          <w:rFonts w:asciiTheme="minorHAnsi" w:hAnsiTheme="minorHAnsi"/>
          <w:i/>
        </w:rPr>
        <w:t>UF - využití výrobní kapacity za rok (h) – faktor využití.</w:t>
      </w:r>
      <w:r w:rsidRPr="00C07DEA">
        <w:rPr>
          <w:rFonts w:asciiTheme="minorHAnsi" w:hAnsiTheme="minorHAnsi"/>
          <w:i/>
          <w:lang w:val="en-US"/>
        </w:rPr>
        <w:t xml:space="preserve"> </w:t>
      </w:r>
    </w:p>
    <w:p w14:paraId="4FF1A3FD" w14:textId="77777777" w:rsidR="00DA3320" w:rsidRPr="00C07DEA" w:rsidRDefault="00DA3320" w:rsidP="00DA3320">
      <w:pPr>
        <w:pStyle w:val="Default"/>
      </w:pPr>
    </w:p>
    <w:p w14:paraId="042CF821" w14:textId="77777777" w:rsidR="00DA3320" w:rsidRPr="00C07DEA" w:rsidRDefault="00DA3320" w:rsidP="00DA3320">
      <w:pPr>
        <w:pStyle w:val="Default"/>
        <w:numPr>
          <w:ilvl w:val="0"/>
          <w:numId w:val="58"/>
        </w:numPr>
        <w:ind w:left="426" w:hanging="426"/>
        <w:jc w:val="both"/>
        <w:rPr>
          <w:rFonts w:asciiTheme="minorHAnsi" w:hAnsiTheme="minorHAnsi"/>
          <w:i/>
          <w:lang w:val="en-US"/>
        </w:rPr>
      </w:pPr>
      <w:r w:rsidRPr="00C07DEA">
        <w:rPr>
          <w:rFonts w:asciiTheme="minorHAnsi" w:hAnsiTheme="minorHAnsi"/>
          <w:i/>
        </w:rPr>
        <w:t>Vzorec pro výpočet diskontní částky umožňuje odpočet veškeré investiční podpory, kterou příjemci v rámci oznámeného režimu získali, a to v její plné výši.</w:t>
      </w:r>
      <w:r w:rsidRPr="00C07DEA">
        <w:rPr>
          <w:rFonts w:asciiTheme="minorHAnsi" w:hAnsiTheme="minorHAnsi"/>
          <w:i/>
          <w:lang w:val="en-US"/>
        </w:rPr>
        <w:t xml:space="preserve"> </w:t>
      </w:r>
    </w:p>
    <w:p w14:paraId="4C37CDF3" w14:textId="77777777" w:rsidR="00DA3320" w:rsidRPr="00C07DEA" w:rsidRDefault="00DA3320" w:rsidP="00DA3320">
      <w:pPr>
        <w:pStyle w:val="Default"/>
        <w:numPr>
          <w:ilvl w:val="0"/>
          <w:numId w:val="58"/>
        </w:numPr>
        <w:ind w:left="426" w:hanging="426"/>
        <w:jc w:val="both"/>
        <w:rPr>
          <w:rFonts w:asciiTheme="minorHAnsi" w:hAnsiTheme="minorHAnsi"/>
          <w:i/>
          <w:lang w:val="en-US"/>
        </w:rPr>
      </w:pPr>
      <w:r w:rsidRPr="00C07DEA">
        <w:rPr>
          <w:rFonts w:asciiTheme="minorHAnsi" w:hAnsiTheme="minorHAnsi"/>
          <w:i/>
        </w:rPr>
        <w:t>České orgány potvrdily, že veškerá zařízení způsobilá k získání podpory na základě oznámeného opatření budou nezpůsobilá pro jakoukoli jinou formu provozní podpory, a to včetně opatření pro poskytování podpory na vysoce účinnou kogeneraci.</w:t>
      </w:r>
      <w:r w:rsidRPr="00C07DEA">
        <w:rPr>
          <w:rFonts w:asciiTheme="minorHAnsi" w:hAnsiTheme="minorHAnsi"/>
          <w:i/>
          <w:lang w:val="en-US"/>
        </w:rPr>
        <w:t xml:space="preserve">  </w:t>
      </w:r>
    </w:p>
    <w:p w14:paraId="13E4B374" w14:textId="77777777" w:rsidR="00DA3320" w:rsidRPr="00C07DEA" w:rsidRDefault="00DA3320" w:rsidP="00DA3320">
      <w:pPr>
        <w:pStyle w:val="Default"/>
        <w:numPr>
          <w:ilvl w:val="0"/>
          <w:numId w:val="58"/>
        </w:numPr>
        <w:ind w:left="426" w:hanging="426"/>
        <w:jc w:val="both"/>
        <w:rPr>
          <w:rFonts w:asciiTheme="minorHAnsi" w:hAnsiTheme="minorHAnsi"/>
          <w:i/>
          <w:lang w:val="en-US"/>
        </w:rPr>
      </w:pPr>
      <w:r w:rsidRPr="00C07DEA">
        <w:rPr>
          <w:rFonts w:asciiTheme="minorHAnsi" w:hAnsiTheme="minorHAnsi"/>
          <w:i/>
        </w:rPr>
        <w:t>České orgány zajistí, aby byly vedeny a uchovávány podrobné záznamy o všech opatřeních zahrnujících udělení podpory.</w:t>
      </w:r>
      <w:r w:rsidRPr="00C07DEA">
        <w:rPr>
          <w:rFonts w:asciiTheme="minorHAnsi" w:hAnsiTheme="minorHAnsi"/>
          <w:i/>
          <w:lang w:val="en-US"/>
        </w:rPr>
        <w:t xml:space="preserve"> </w:t>
      </w:r>
      <w:r w:rsidRPr="00C07DEA">
        <w:rPr>
          <w:rFonts w:asciiTheme="minorHAnsi" w:hAnsiTheme="minorHAnsi"/>
          <w:i/>
        </w:rPr>
        <w:t>Tyto záznamy budou vedeny po dobu trvání režimu a zůstanou uchovány po dobu dalších deseti let a budou obsahovat veškeré informace, které jsou důležité jako doklad o plnění podmínek navrhovaného režimu.</w:t>
      </w:r>
      <w:r w:rsidRPr="00C07DEA">
        <w:rPr>
          <w:rFonts w:asciiTheme="minorHAnsi" w:hAnsiTheme="minorHAnsi"/>
          <w:i/>
          <w:lang w:val="en-US"/>
        </w:rPr>
        <w:t xml:space="preserve"> </w:t>
      </w:r>
    </w:p>
    <w:p w14:paraId="47C52A41" w14:textId="77777777" w:rsidR="00DA3320" w:rsidRPr="00C07DEA" w:rsidRDefault="00DA3320" w:rsidP="00DA3320">
      <w:pPr>
        <w:pStyle w:val="Normlnweb"/>
        <w:spacing w:before="0" w:beforeAutospacing="0" w:after="0" w:afterAutospacing="0" w:line="276" w:lineRule="auto"/>
        <w:jc w:val="center"/>
        <w:rPr>
          <w:rFonts w:asciiTheme="minorHAnsi" w:hAnsiTheme="minorHAnsi"/>
          <w:i/>
          <w:u w:val="single"/>
        </w:rPr>
      </w:pPr>
    </w:p>
    <w:p w14:paraId="6FE03AB7" w14:textId="77777777" w:rsidR="00DA3320" w:rsidRDefault="00DA3320" w:rsidP="00DA3320">
      <w:pPr>
        <w:pStyle w:val="Normlnweb"/>
        <w:spacing w:before="0" w:beforeAutospacing="0" w:after="0" w:afterAutospacing="0" w:line="276" w:lineRule="auto"/>
        <w:jc w:val="center"/>
        <w:rPr>
          <w:rFonts w:asciiTheme="minorHAnsi" w:hAnsiTheme="minorHAnsi"/>
          <w:i/>
          <w:sz w:val="26"/>
          <w:szCs w:val="26"/>
          <w:u w:val="single"/>
        </w:rPr>
      </w:pPr>
    </w:p>
    <w:p w14:paraId="1E498CB5" w14:textId="77777777" w:rsidR="00DA3320" w:rsidRDefault="00DA3320" w:rsidP="00DA3320">
      <w:pPr>
        <w:pStyle w:val="Normlnweb"/>
        <w:spacing w:before="0" w:beforeAutospacing="0" w:after="0" w:afterAutospacing="0" w:line="276" w:lineRule="auto"/>
        <w:jc w:val="center"/>
        <w:rPr>
          <w:rFonts w:asciiTheme="minorHAnsi" w:hAnsiTheme="minorHAnsi"/>
          <w:i/>
          <w:sz w:val="26"/>
          <w:szCs w:val="26"/>
          <w:u w:val="single"/>
        </w:rPr>
      </w:pPr>
    </w:p>
    <w:p w14:paraId="015A0801" w14:textId="77777777" w:rsidR="00C07DEA" w:rsidRDefault="00C07DEA" w:rsidP="00DA3320">
      <w:pPr>
        <w:pStyle w:val="Normlnweb"/>
        <w:spacing w:before="0" w:beforeAutospacing="0" w:after="0" w:afterAutospacing="0" w:line="276" w:lineRule="auto"/>
        <w:jc w:val="center"/>
        <w:rPr>
          <w:rFonts w:asciiTheme="minorHAnsi" w:hAnsiTheme="minorHAnsi"/>
          <w:i/>
          <w:sz w:val="26"/>
          <w:szCs w:val="26"/>
          <w:u w:val="single"/>
        </w:rPr>
      </w:pPr>
    </w:p>
    <w:p w14:paraId="75F1CC07" w14:textId="77777777" w:rsidR="00C07DEA" w:rsidRDefault="00C07DEA" w:rsidP="00DA3320">
      <w:pPr>
        <w:pStyle w:val="Normlnweb"/>
        <w:spacing w:before="0" w:beforeAutospacing="0" w:after="0" w:afterAutospacing="0" w:line="276" w:lineRule="auto"/>
        <w:jc w:val="center"/>
        <w:rPr>
          <w:rFonts w:asciiTheme="minorHAnsi" w:hAnsiTheme="minorHAnsi"/>
          <w:i/>
          <w:sz w:val="26"/>
          <w:szCs w:val="26"/>
          <w:u w:val="single"/>
        </w:rPr>
      </w:pPr>
    </w:p>
    <w:p w14:paraId="582D1530" w14:textId="77777777" w:rsidR="00C07DEA" w:rsidRDefault="00C07DEA" w:rsidP="00DA3320">
      <w:pPr>
        <w:pStyle w:val="Normlnweb"/>
        <w:spacing w:before="0" w:beforeAutospacing="0" w:after="0" w:afterAutospacing="0" w:line="276" w:lineRule="auto"/>
        <w:jc w:val="center"/>
        <w:rPr>
          <w:rFonts w:asciiTheme="minorHAnsi" w:hAnsiTheme="minorHAnsi"/>
          <w:i/>
          <w:sz w:val="26"/>
          <w:szCs w:val="26"/>
          <w:u w:val="single"/>
        </w:rPr>
      </w:pPr>
    </w:p>
    <w:p w14:paraId="5492C65A" w14:textId="77777777" w:rsidR="00C07DEA" w:rsidRDefault="00C07DEA" w:rsidP="00DA3320">
      <w:pPr>
        <w:pStyle w:val="Normlnweb"/>
        <w:spacing w:before="0" w:beforeAutospacing="0" w:after="0" w:afterAutospacing="0" w:line="276" w:lineRule="auto"/>
        <w:jc w:val="center"/>
        <w:rPr>
          <w:rFonts w:asciiTheme="minorHAnsi" w:hAnsiTheme="minorHAnsi"/>
          <w:i/>
          <w:sz w:val="26"/>
          <w:szCs w:val="26"/>
          <w:u w:val="single"/>
        </w:rPr>
      </w:pPr>
    </w:p>
    <w:p w14:paraId="1DD04476" w14:textId="77777777" w:rsidR="00C07DEA" w:rsidRDefault="00C07DEA" w:rsidP="00DA3320">
      <w:pPr>
        <w:pStyle w:val="Normlnweb"/>
        <w:spacing w:before="0" w:beforeAutospacing="0" w:after="0" w:afterAutospacing="0" w:line="276" w:lineRule="auto"/>
        <w:jc w:val="center"/>
        <w:rPr>
          <w:rFonts w:asciiTheme="minorHAnsi" w:hAnsiTheme="minorHAnsi"/>
          <w:i/>
          <w:sz w:val="26"/>
          <w:szCs w:val="26"/>
          <w:u w:val="single"/>
        </w:rPr>
      </w:pPr>
    </w:p>
    <w:p w14:paraId="06A7CD34" w14:textId="1182276D" w:rsidR="00DA3320" w:rsidRPr="00C07DEA" w:rsidRDefault="00DA3320" w:rsidP="00DA3320">
      <w:pPr>
        <w:pStyle w:val="Normlnweb"/>
        <w:spacing w:before="0" w:beforeAutospacing="0" w:after="0" w:afterAutospacing="0"/>
        <w:jc w:val="both"/>
        <w:rPr>
          <w:rFonts w:asciiTheme="minorHAnsi" w:hAnsiTheme="minorHAnsi"/>
          <w:b/>
          <w:u w:val="single"/>
        </w:rPr>
      </w:pPr>
      <w:r w:rsidRPr="00C07DEA">
        <w:rPr>
          <w:rFonts w:asciiTheme="minorHAnsi" w:hAnsiTheme="minorHAnsi"/>
          <w:b/>
        </w:rPr>
        <w:t xml:space="preserve">E)    </w:t>
      </w:r>
      <w:r w:rsidRPr="00C07DEA">
        <w:rPr>
          <w:rFonts w:asciiTheme="minorHAnsi" w:hAnsiTheme="minorHAnsi"/>
          <w:b/>
          <w:u w:val="single"/>
        </w:rPr>
        <w:t>Závazek uvedený v  rozhodnutí Evropské komise SA.45768 (2016/N):</w:t>
      </w:r>
    </w:p>
    <w:p w14:paraId="6E78085F" w14:textId="77777777" w:rsidR="00DA3320" w:rsidRPr="00FB2C26" w:rsidRDefault="00DA3320" w:rsidP="00DA3320">
      <w:pPr>
        <w:pStyle w:val="Normlnweb"/>
        <w:spacing w:before="0" w:beforeAutospacing="0" w:after="0" w:afterAutospacing="0" w:line="276" w:lineRule="auto"/>
        <w:jc w:val="center"/>
        <w:rPr>
          <w:rFonts w:asciiTheme="minorHAnsi" w:hAnsiTheme="minorHAnsi"/>
          <w:i/>
          <w:sz w:val="26"/>
          <w:szCs w:val="26"/>
          <w:u w:val="single"/>
        </w:rPr>
      </w:pPr>
    </w:p>
    <w:p w14:paraId="0DE62577" w14:textId="77777777" w:rsidR="00DA3320" w:rsidRPr="00C07DEA" w:rsidRDefault="00DA3320" w:rsidP="00DA3320">
      <w:pPr>
        <w:pStyle w:val="Zkladntext21"/>
        <w:numPr>
          <w:ilvl w:val="0"/>
          <w:numId w:val="59"/>
        </w:numPr>
        <w:shd w:val="clear" w:color="auto" w:fill="auto"/>
        <w:tabs>
          <w:tab w:val="left" w:pos="426"/>
        </w:tabs>
        <w:spacing w:before="100" w:beforeAutospacing="1" w:after="100" w:afterAutospacing="1" w:line="276" w:lineRule="auto"/>
        <w:ind w:left="426" w:hanging="426"/>
        <w:rPr>
          <w:rFonts w:asciiTheme="minorHAnsi" w:hAnsiTheme="minorHAnsi"/>
          <w:i/>
          <w:sz w:val="24"/>
          <w:szCs w:val="24"/>
        </w:rPr>
      </w:pPr>
      <w:r w:rsidRPr="00C07DEA">
        <w:rPr>
          <w:rStyle w:val="Zkladntext2"/>
          <w:rFonts w:asciiTheme="minorHAnsi" w:hAnsiTheme="minorHAnsi"/>
          <w:i/>
          <w:color w:val="000000"/>
          <w:sz w:val="24"/>
          <w:szCs w:val="24"/>
          <w:lang w:eastAsia="en-US"/>
        </w:rPr>
        <w:t>Podporu na základě oznámeného opatření lze kumulovat s investiční podporou</w:t>
      </w:r>
      <w:r w:rsidRPr="00C07DEA">
        <w:rPr>
          <w:rStyle w:val="Znakapoznpodarou"/>
          <w:rFonts w:asciiTheme="minorHAnsi" w:eastAsiaTheme="majorEastAsia" w:hAnsiTheme="minorHAnsi"/>
          <w:color w:val="000000"/>
          <w:sz w:val="24"/>
          <w:szCs w:val="24"/>
        </w:rPr>
        <w:footnoteReference w:id="4"/>
      </w:r>
      <w:r w:rsidRPr="00C07DEA">
        <w:rPr>
          <w:rStyle w:val="Zkladntext2"/>
          <w:rFonts w:asciiTheme="minorHAnsi" w:hAnsiTheme="minorHAnsi"/>
          <w:i/>
          <w:color w:val="000000"/>
          <w:sz w:val="24"/>
          <w:szCs w:val="24"/>
          <w:lang w:eastAsia="en-US"/>
        </w:rPr>
        <w:t>.</w:t>
      </w:r>
    </w:p>
    <w:p w14:paraId="513810EF" w14:textId="77777777" w:rsidR="00DA3320" w:rsidRPr="00C07DEA" w:rsidRDefault="00DA3320" w:rsidP="00DA3320">
      <w:pPr>
        <w:pStyle w:val="Zkladntext21"/>
        <w:numPr>
          <w:ilvl w:val="0"/>
          <w:numId w:val="59"/>
        </w:numPr>
        <w:shd w:val="clear" w:color="auto" w:fill="auto"/>
        <w:tabs>
          <w:tab w:val="left" w:pos="426"/>
        </w:tabs>
        <w:spacing w:before="100" w:beforeAutospacing="1" w:after="100" w:afterAutospacing="1" w:line="276" w:lineRule="auto"/>
        <w:ind w:left="426" w:hanging="426"/>
        <w:rPr>
          <w:rFonts w:asciiTheme="minorHAnsi" w:hAnsiTheme="minorHAnsi"/>
          <w:i/>
          <w:sz w:val="24"/>
          <w:szCs w:val="24"/>
        </w:rPr>
      </w:pPr>
      <w:r w:rsidRPr="00C07DEA">
        <w:rPr>
          <w:rStyle w:val="Zkladntext2"/>
          <w:rFonts w:asciiTheme="minorHAnsi" w:hAnsiTheme="minorHAnsi"/>
          <w:i/>
          <w:color w:val="000000"/>
          <w:sz w:val="24"/>
          <w:szCs w:val="24"/>
          <w:lang w:eastAsia="en-US"/>
        </w:rPr>
        <w:t>Kumulace investiční podpory s provozní podporou na základě oznámeného systému se provádí za použití vzorce pro výpočet částky (v Kč/MWh), o kterou se sníží příslušná pevná roční výkupní prémie, aby se zohlednila poskytnutá investiční podpora.</w:t>
      </w:r>
    </w:p>
    <w:p w14:paraId="6EEE7E55" w14:textId="77777777" w:rsidR="00DA3320" w:rsidRPr="00C07DEA" w:rsidRDefault="00DA3320" w:rsidP="00FA7B72">
      <w:pPr>
        <w:pStyle w:val="Zkladntext21"/>
        <w:numPr>
          <w:ilvl w:val="0"/>
          <w:numId w:val="59"/>
        </w:numPr>
        <w:shd w:val="clear" w:color="auto" w:fill="auto"/>
        <w:tabs>
          <w:tab w:val="left" w:pos="426"/>
        </w:tabs>
        <w:spacing w:before="100" w:beforeAutospacing="1" w:after="100" w:afterAutospacing="1" w:line="276" w:lineRule="auto"/>
        <w:ind w:left="426" w:hanging="426"/>
        <w:rPr>
          <w:rFonts w:asciiTheme="minorHAnsi" w:hAnsiTheme="minorHAnsi"/>
          <w:i/>
          <w:sz w:val="24"/>
          <w:szCs w:val="24"/>
        </w:rPr>
      </w:pPr>
      <w:r w:rsidRPr="00C07DEA">
        <w:rPr>
          <w:rStyle w:val="Zkladntext2"/>
          <w:rFonts w:asciiTheme="minorHAnsi" w:hAnsiTheme="minorHAnsi"/>
          <w:i/>
          <w:color w:val="000000"/>
          <w:sz w:val="24"/>
          <w:szCs w:val="24"/>
          <w:lang w:eastAsia="en-US"/>
        </w:rPr>
        <w:t>Vzorec pro výpočet snížení je následující:</w:t>
      </w:r>
    </w:p>
    <w:p w14:paraId="4E717718" w14:textId="77777777" w:rsidR="00DA3320" w:rsidRPr="00C07DEA" w:rsidRDefault="00DA3320" w:rsidP="00C07DEA">
      <w:pPr>
        <w:pStyle w:val="Zkladntext21"/>
        <w:shd w:val="clear" w:color="auto" w:fill="auto"/>
        <w:spacing w:after="133" w:line="220" w:lineRule="exact"/>
        <w:ind w:right="60" w:firstLine="0"/>
        <w:rPr>
          <w:rStyle w:val="Zkladntext2"/>
          <w:rFonts w:asciiTheme="minorHAnsi" w:hAnsiTheme="minorHAnsi"/>
          <w:i/>
          <w:color w:val="000000"/>
          <w:sz w:val="24"/>
          <w:szCs w:val="24"/>
          <w:lang w:eastAsia="en-US"/>
        </w:rPr>
      </w:pPr>
      <w:r w:rsidRPr="00C07DEA">
        <w:rPr>
          <w:rStyle w:val="Zkladntext2"/>
          <w:rFonts w:asciiTheme="minorHAnsi" w:hAnsiTheme="minorHAnsi"/>
          <w:i/>
          <w:color w:val="000000"/>
          <w:sz w:val="24"/>
          <w:szCs w:val="24"/>
          <w:lang w:eastAsia="en-US"/>
        </w:rPr>
        <w:t>RF = (IS x AF)/ YEP</w:t>
      </w:r>
    </w:p>
    <w:p w14:paraId="71F2A311" w14:textId="77777777" w:rsidR="00DA3320" w:rsidRPr="00C07DEA" w:rsidRDefault="00DA3320" w:rsidP="00C07DEA">
      <w:pPr>
        <w:pStyle w:val="Zkladntext21"/>
        <w:shd w:val="clear" w:color="auto" w:fill="auto"/>
        <w:spacing w:after="133" w:line="220" w:lineRule="exact"/>
        <w:ind w:right="60" w:firstLine="0"/>
        <w:rPr>
          <w:rFonts w:asciiTheme="minorHAnsi" w:hAnsiTheme="minorHAnsi"/>
          <w:i/>
          <w:sz w:val="24"/>
          <w:szCs w:val="24"/>
        </w:rPr>
      </w:pPr>
    </w:p>
    <w:p w14:paraId="0466AABB" w14:textId="77777777" w:rsidR="00DA3320" w:rsidRPr="00C07DEA" w:rsidRDefault="00DA3320" w:rsidP="00DA3320">
      <w:pPr>
        <w:pStyle w:val="Zkladntext21"/>
        <w:shd w:val="clear" w:color="auto" w:fill="auto"/>
        <w:spacing w:line="220" w:lineRule="exact"/>
        <w:ind w:left="780" w:firstLine="0"/>
        <w:rPr>
          <w:rFonts w:asciiTheme="minorHAnsi" w:hAnsiTheme="minorHAnsi"/>
          <w:i/>
          <w:sz w:val="24"/>
          <w:szCs w:val="24"/>
        </w:rPr>
      </w:pPr>
      <w:r w:rsidRPr="00C07DEA">
        <w:rPr>
          <w:rFonts w:asciiTheme="minorHAnsi" w:hAnsiTheme="minorHAnsi"/>
          <w:i/>
          <w:noProof/>
          <w:sz w:val="24"/>
          <w:szCs w:val="24"/>
        </w:rPr>
        <w:drawing>
          <wp:anchor distT="0" distB="0" distL="114300" distR="114300" simplePos="0" relativeHeight="251662848" behindDoc="1" locked="0" layoutInCell="1" allowOverlap="1" wp14:anchorId="56C05E86" wp14:editId="2CF71412">
            <wp:simplePos x="0" y="0"/>
            <wp:positionH relativeFrom="column">
              <wp:posOffset>857885</wp:posOffset>
            </wp:positionH>
            <wp:positionV relativeFrom="paragraph">
              <wp:posOffset>15875</wp:posOffset>
            </wp:positionV>
            <wp:extent cx="1530350" cy="904875"/>
            <wp:effectExtent l="0" t="0" r="0" b="9525"/>
            <wp:wrapNone/>
            <wp:docPr id="42"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035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7DEA">
        <w:rPr>
          <w:rStyle w:val="Zkladntext2"/>
          <w:rFonts w:asciiTheme="minorHAnsi" w:hAnsiTheme="minorHAnsi"/>
          <w:i/>
          <w:color w:val="000000"/>
          <w:sz w:val="24"/>
          <w:szCs w:val="24"/>
          <w:lang w:eastAsia="en-US"/>
        </w:rPr>
        <w:t>kde:</w:t>
      </w:r>
    </w:p>
    <w:p w14:paraId="71B07C9B" w14:textId="77777777" w:rsidR="00DA3320" w:rsidRPr="00C07DEA" w:rsidRDefault="00DA3320" w:rsidP="00DA3320">
      <w:pPr>
        <w:pStyle w:val="Zkladntext21"/>
        <w:shd w:val="clear" w:color="auto" w:fill="auto"/>
        <w:spacing w:line="266" w:lineRule="exact"/>
        <w:ind w:left="780" w:firstLine="0"/>
        <w:rPr>
          <w:rStyle w:val="Zkladntext7"/>
          <w:rFonts w:asciiTheme="minorHAnsi" w:hAnsiTheme="minorHAnsi"/>
          <w:color w:val="000000"/>
          <w:sz w:val="24"/>
          <w:szCs w:val="24"/>
          <w:lang w:eastAsia="en-US"/>
        </w:rPr>
      </w:pPr>
    </w:p>
    <w:p w14:paraId="1AA93AC0" w14:textId="77777777" w:rsidR="00DA3320" w:rsidRPr="00C07DEA" w:rsidRDefault="00DA3320" w:rsidP="00FA7B72">
      <w:pPr>
        <w:pStyle w:val="Zkladntext21"/>
        <w:shd w:val="clear" w:color="auto" w:fill="auto"/>
        <w:spacing w:line="266" w:lineRule="exact"/>
        <w:ind w:left="780" w:firstLine="0"/>
        <w:rPr>
          <w:rStyle w:val="Zkladntext7"/>
          <w:rFonts w:asciiTheme="minorHAnsi" w:hAnsiTheme="minorHAnsi"/>
          <w:color w:val="000000"/>
          <w:sz w:val="24"/>
          <w:szCs w:val="24"/>
          <w:lang w:eastAsia="en-US"/>
        </w:rPr>
      </w:pPr>
    </w:p>
    <w:p w14:paraId="693F95B7" w14:textId="77777777" w:rsidR="00DA3320" w:rsidRPr="00C07DEA" w:rsidRDefault="00DA3320" w:rsidP="00FA7B72">
      <w:pPr>
        <w:pStyle w:val="Zkladntext21"/>
        <w:shd w:val="clear" w:color="auto" w:fill="auto"/>
        <w:spacing w:line="266" w:lineRule="exact"/>
        <w:ind w:left="780" w:firstLine="0"/>
        <w:rPr>
          <w:rStyle w:val="Zkladntext7"/>
          <w:rFonts w:asciiTheme="minorHAnsi" w:hAnsiTheme="minorHAnsi"/>
          <w:color w:val="000000"/>
          <w:sz w:val="24"/>
          <w:szCs w:val="24"/>
          <w:lang w:eastAsia="en-US"/>
        </w:rPr>
      </w:pPr>
    </w:p>
    <w:p w14:paraId="475F6FA3" w14:textId="77777777" w:rsidR="00DA3320" w:rsidRPr="00C07DEA" w:rsidRDefault="00DA3320" w:rsidP="00FA7B72">
      <w:pPr>
        <w:pStyle w:val="Zkladntext21"/>
        <w:shd w:val="clear" w:color="auto" w:fill="auto"/>
        <w:spacing w:line="266" w:lineRule="exact"/>
        <w:ind w:left="780" w:firstLine="0"/>
        <w:rPr>
          <w:rStyle w:val="Zkladntext7"/>
          <w:rFonts w:asciiTheme="minorHAnsi" w:hAnsiTheme="minorHAnsi"/>
          <w:color w:val="000000"/>
          <w:sz w:val="24"/>
          <w:szCs w:val="24"/>
          <w:lang w:eastAsia="en-US"/>
        </w:rPr>
      </w:pPr>
    </w:p>
    <w:p w14:paraId="334A981B" w14:textId="77777777" w:rsidR="00DA3320" w:rsidRPr="00C07DEA" w:rsidRDefault="00DA3320" w:rsidP="00FA7B72">
      <w:pPr>
        <w:pStyle w:val="Zkladntext21"/>
        <w:shd w:val="clear" w:color="auto" w:fill="auto"/>
        <w:spacing w:line="266" w:lineRule="exact"/>
        <w:ind w:left="780" w:firstLine="0"/>
        <w:rPr>
          <w:rStyle w:val="Zkladntext7"/>
          <w:rFonts w:asciiTheme="minorHAnsi" w:hAnsiTheme="minorHAnsi"/>
          <w:color w:val="000000"/>
          <w:sz w:val="24"/>
          <w:szCs w:val="24"/>
          <w:lang w:eastAsia="en-US"/>
        </w:rPr>
      </w:pPr>
    </w:p>
    <w:p w14:paraId="4FBA201F" w14:textId="77777777" w:rsidR="00DA3320" w:rsidRPr="00C07DEA" w:rsidRDefault="00DA3320" w:rsidP="00FA7B72">
      <w:pPr>
        <w:pStyle w:val="Zkladntext21"/>
        <w:shd w:val="clear" w:color="auto" w:fill="auto"/>
        <w:spacing w:line="266" w:lineRule="exact"/>
        <w:ind w:left="780" w:firstLine="0"/>
        <w:rPr>
          <w:rFonts w:asciiTheme="minorHAnsi" w:hAnsiTheme="minorHAnsi"/>
          <w:i/>
          <w:sz w:val="24"/>
          <w:szCs w:val="24"/>
        </w:rPr>
      </w:pPr>
      <w:r w:rsidRPr="00C07DEA">
        <w:rPr>
          <w:rStyle w:val="Zkladntext2"/>
          <w:rFonts w:asciiTheme="minorHAnsi" w:hAnsiTheme="minorHAnsi"/>
          <w:i/>
          <w:color w:val="000000"/>
          <w:sz w:val="24"/>
          <w:szCs w:val="24"/>
          <w:lang w:eastAsia="en-US"/>
        </w:rPr>
        <w:t>RF – částka snížení (</w:t>
      </w:r>
      <w:r w:rsidRPr="00C07DEA">
        <w:rPr>
          <w:rStyle w:val="Zkladntext2"/>
          <w:rFonts w:asciiTheme="minorHAnsi" w:hAnsiTheme="minorHAnsi"/>
          <w:b/>
          <w:i/>
          <w:color w:val="000000"/>
          <w:sz w:val="24"/>
          <w:szCs w:val="24"/>
          <w:lang w:eastAsia="en-US"/>
        </w:rPr>
        <w:t>Kč/MWh</w:t>
      </w:r>
      <w:r w:rsidRPr="00C07DEA">
        <w:rPr>
          <w:rStyle w:val="Zkladntext2"/>
          <w:rFonts w:asciiTheme="minorHAnsi" w:hAnsiTheme="minorHAnsi"/>
          <w:i/>
          <w:color w:val="000000"/>
          <w:sz w:val="24"/>
          <w:szCs w:val="24"/>
          <w:lang w:eastAsia="en-US"/>
        </w:rPr>
        <w:t>)</w:t>
      </w:r>
    </w:p>
    <w:p w14:paraId="326F16B6" w14:textId="77777777" w:rsidR="00DA3320" w:rsidRPr="00C07DEA" w:rsidRDefault="00DA3320" w:rsidP="007836E9">
      <w:pPr>
        <w:pStyle w:val="Zkladntext21"/>
        <w:shd w:val="clear" w:color="auto" w:fill="auto"/>
        <w:spacing w:line="266" w:lineRule="exact"/>
        <w:ind w:left="780" w:firstLine="0"/>
        <w:rPr>
          <w:rFonts w:asciiTheme="minorHAnsi" w:hAnsiTheme="minorHAnsi"/>
          <w:i/>
          <w:sz w:val="24"/>
          <w:szCs w:val="24"/>
        </w:rPr>
      </w:pPr>
      <w:r w:rsidRPr="00C07DEA">
        <w:rPr>
          <w:rStyle w:val="Zkladntext2"/>
          <w:rFonts w:asciiTheme="minorHAnsi" w:hAnsiTheme="minorHAnsi"/>
          <w:i/>
          <w:color w:val="000000"/>
          <w:sz w:val="24"/>
          <w:szCs w:val="24"/>
          <w:lang w:eastAsia="en-US"/>
        </w:rPr>
        <w:t>IS – celková investiční podpora poskytnutá projektu (Kč)</w:t>
      </w:r>
    </w:p>
    <w:p w14:paraId="6AC70899" w14:textId="77777777" w:rsidR="00DA3320" w:rsidRPr="00C07DEA" w:rsidRDefault="00DA3320" w:rsidP="00C14EDF">
      <w:pPr>
        <w:pStyle w:val="Zkladntext21"/>
        <w:shd w:val="clear" w:color="auto" w:fill="auto"/>
        <w:spacing w:line="266" w:lineRule="exact"/>
        <w:ind w:left="780" w:firstLine="0"/>
        <w:rPr>
          <w:rFonts w:asciiTheme="minorHAnsi" w:hAnsiTheme="minorHAnsi"/>
          <w:i/>
          <w:sz w:val="24"/>
          <w:szCs w:val="24"/>
        </w:rPr>
      </w:pPr>
      <w:r w:rsidRPr="00C07DEA">
        <w:rPr>
          <w:rStyle w:val="Zkladntext2"/>
          <w:rFonts w:asciiTheme="minorHAnsi" w:hAnsiTheme="minorHAnsi"/>
          <w:i/>
          <w:color w:val="000000"/>
          <w:sz w:val="24"/>
          <w:szCs w:val="24"/>
          <w:lang w:eastAsia="en-US"/>
        </w:rPr>
        <w:t xml:space="preserve">AF – faktor anuity projektu </w:t>
      </w:r>
    </w:p>
    <w:p w14:paraId="70A1D688" w14:textId="77777777" w:rsidR="00DA3320" w:rsidRPr="00C07DEA" w:rsidRDefault="00DA3320" w:rsidP="00125810">
      <w:pPr>
        <w:pStyle w:val="Zkladntext21"/>
        <w:shd w:val="clear" w:color="auto" w:fill="auto"/>
        <w:spacing w:line="266" w:lineRule="exact"/>
        <w:ind w:left="780" w:firstLine="0"/>
        <w:rPr>
          <w:rFonts w:asciiTheme="minorHAnsi" w:hAnsiTheme="minorHAnsi"/>
          <w:i/>
          <w:sz w:val="24"/>
          <w:szCs w:val="24"/>
        </w:rPr>
      </w:pPr>
      <w:r w:rsidRPr="00C07DEA">
        <w:rPr>
          <w:rStyle w:val="Zkladntext2"/>
          <w:rFonts w:asciiTheme="minorHAnsi" w:hAnsiTheme="minorHAnsi"/>
          <w:i/>
          <w:color w:val="000000"/>
          <w:sz w:val="24"/>
          <w:szCs w:val="24"/>
          <w:lang w:eastAsia="en-US"/>
        </w:rPr>
        <w:t>YEP – předpokládaná roční produkce energie (MWh)</w:t>
      </w:r>
    </w:p>
    <w:p w14:paraId="0BB0107A" w14:textId="77777777" w:rsidR="00DA3320" w:rsidRPr="00C07DEA" w:rsidRDefault="00DA3320">
      <w:pPr>
        <w:pStyle w:val="Zkladntext21"/>
        <w:shd w:val="clear" w:color="auto" w:fill="auto"/>
        <w:spacing w:line="266" w:lineRule="exact"/>
        <w:ind w:left="780" w:firstLine="0"/>
        <w:rPr>
          <w:rFonts w:asciiTheme="minorHAnsi" w:hAnsiTheme="minorHAnsi"/>
          <w:i/>
          <w:sz w:val="24"/>
          <w:szCs w:val="24"/>
        </w:rPr>
      </w:pPr>
      <w:r w:rsidRPr="00C07DEA">
        <w:rPr>
          <w:rStyle w:val="Zkladntext2"/>
          <w:rFonts w:asciiTheme="minorHAnsi" w:hAnsiTheme="minorHAnsi"/>
          <w:i/>
          <w:color w:val="000000"/>
          <w:sz w:val="24"/>
          <w:szCs w:val="24"/>
          <w:lang w:eastAsia="en-US"/>
        </w:rPr>
        <w:t xml:space="preserve">SP – období poskytnutí provozní podpory / období životnosti zařízení </w:t>
      </w:r>
    </w:p>
    <w:p w14:paraId="7C74CF8A" w14:textId="77777777" w:rsidR="00DA3320" w:rsidRPr="00C07DEA" w:rsidRDefault="00DA3320" w:rsidP="00C07DEA">
      <w:pPr>
        <w:pStyle w:val="Zkladntext21"/>
        <w:shd w:val="clear" w:color="auto" w:fill="auto"/>
        <w:spacing w:line="266" w:lineRule="exact"/>
        <w:ind w:left="760" w:firstLine="0"/>
        <w:rPr>
          <w:rFonts w:asciiTheme="minorHAnsi" w:hAnsiTheme="minorHAnsi"/>
          <w:i/>
          <w:sz w:val="24"/>
          <w:szCs w:val="24"/>
        </w:rPr>
      </w:pPr>
      <w:r w:rsidRPr="00C07DEA">
        <w:rPr>
          <w:rStyle w:val="Zkladntext2"/>
          <w:rFonts w:asciiTheme="minorHAnsi" w:hAnsiTheme="minorHAnsi"/>
          <w:i/>
          <w:color w:val="000000"/>
          <w:sz w:val="24"/>
          <w:szCs w:val="24"/>
          <w:lang w:eastAsia="en-US"/>
        </w:rPr>
        <w:t>IRR – míra návratnosti projektu (%)</w:t>
      </w:r>
    </w:p>
    <w:p w14:paraId="284ADC51" w14:textId="77777777" w:rsidR="00DA3320" w:rsidRPr="00C07DEA" w:rsidRDefault="00DA3320" w:rsidP="00C07DEA">
      <w:pPr>
        <w:pStyle w:val="Zkladntext21"/>
        <w:shd w:val="clear" w:color="auto" w:fill="auto"/>
        <w:spacing w:line="266" w:lineRule="exact"/>
        <w:ind w:left="760" w:firstLine="0"/>
        <w:rPr>
          <w:rFonts w:asciiTheme="minorHAnsi" w:hAnsiTheme="minorHAnsi"/>
          <w:i/>
          <w:sz w:val="24"/>
          <w:szCs w:val="24"/>
        </w:rPr>
      </w:pPr>
      <w:r w:rsidRPr="00DA3320">
        <w:rPr>
          <w:rStyle w:val="Zkladntext212pt1"/>
          <w:rFonts w:asciiTheme="minorHAnsi" w:eastAsiaTheme="minorHAnsi" w:hAnsiTheme="minorHAnsi"/>
          <w:i/>
          <w:color w:val="000000"/>
        </w:rPr>
        <w:t>P</w:t>
      </w:r>
      <w:r w:rsidRPr="00DA3320">
        <w:rPr>
          <w:rStyle w:val="Zkladntext212pt1"/>
          <w:rFonts w:asciiTheme="minorHAnsi" w:eastAsiaTheme="minorHAnsi" w:hAnsiTheme="minorHAnsi"/>
          <w:i/>
          <w:color w:val="000000"/>
          <w:vertAlign w:val="subscript"/>
        </w:rPr>
        <w:t>inst</w:t>
      </w:r>
      <w:r w:rsidRPr="00C07DEA">
        <w:rPr>
          <w:rStyle w:val="Zkladntext212pt1"/>
          <w:rFonts w:asciiTheme="minorHAnsi" w:eastAsiaTheme="minorHAnsi" w:hAnsiTheme="minorHAnsi"/>
          <w:i/>
          <w:color w:val="000000"/>
        </w:rPr>
        <w:t xml:space="preserve"> </w:t>
      </w:r>
      <w:r w:rsidRPr="00C07DEA">
        <w:rPr>
          <w:rStyle w:val="Zkladntext2"/>
          <w:rFonts w:asciiTheme="minorHAnsi" w:hAnsiTheme="minorHAnsi"/>
          <w:i/>
          <w:color w:val="000000"/>
          <w:sz w:val="24"/>
          <w:szCs w:val="24"/>
          <w:lang w:eastAsia="en-US"/>
        </w:rPr>
        <w:t>– instalovaná kapacita zařízení (MW)</w:t>
      </w:r>
    </w:p>
    <w:p w14:paraId="5AF2DA94" w14:textId="77777777" w:rsidR="00DA3320" w:rsidRPr="00C07DEA" w:rsidRDefault="00DA3320" w:rsidP="00C07DEA">
      <w:pPr>
        <w:pStyle w:val="Zkladntext21"/>
        <w:shd w:val="clear" w:color="auto" w:fill="auto"/>
        <w:spacing w:after="180" w:line="266" w:lineRule="exact"/>
        <w:ind w:left="760" w:firstLine="0"/>
        <w:rPr>
          <w:rStyle w:val="Zkladntext2"/>
          <w:rFonts w:asciiTheme="minorHAnsi" w:hAnsiTheme="minorHAnsi"/>
          <w:i/>
          <w:color w:val="000000"/>
          <w:sz w:val="24"/>
          <w:szCs w:val="24"/>
          <w:lang w:eastAsia="en-US"/>
        </w:rPr>
      </w:pPr>
      <w:r w:rsidRPr="00C07DEA">
        <w:rPr>
          <w:rStyle w:val="Zkladntext2"/>
          <w:rFonts w:asciiTheme="minorHAnsi" w:hAnsiTheme="minorHAnsi"/>
          <w:i/>
          <w:color w:val="000000"/>
          <w:sz w:val="24"/>
          <w:szCs w:val="24"/>
          <w:lang w:eastAsia="en-US"/>
        </w:rPr>
        <w:t xml:space="preserve">UF – míra využití kapacity ročně (h) – faktor využití. </w:t>
      </w:r>
    </w:p>
    <w:p w14:paraId="31B840B9" w14:textId="77777777" w:rsidR="00DA3320" w:rsidRPr="00C07DEA" w:rsidRDefault="00DA3320" w:rsidP="00C07DEA">
      <w:pPr>
        <w:pStyle w:val="Zkladntext21"/>
        <w:shd w:val="clear" w:color="auto" w:fill="auto"/>
        <w:spacing w:after="180" w:line="266" w:lineRule="exact"/>
        <w:ind w:left="760" w:firstLine="0"/>
        <w:rPr>
          <w:rFonts w:asciiTheme="minorHAnsi" w:hAnsiTheme="minorHAnsi"/>
          <w:i/>
          <w:sz w:val="24"/>
          <w:szCs w:val="24"/>
        </w:rPr>
      </w:pPr>
    </w:p>
    <w:p w14:paraId="0497D4B3" w14:textId="77777777" w:rsidR="00DA3320" w:rsidRPr="00C07DEA" w:rsidRDefault="00DA3320" w:rsidP="00C07DEA">
      <w:pPr>
        <w:pStyle w:val="Zkladntext21"/>
        <w:numPr>
          <w:ilvl w:val="0"/>
          <w:numId w:val="60"/>
        </w:numPr>
        <w:shd w:val="clear" w:color="auto" w:fill="auto"/>
        <w:spacing w:before="100" w:beforeAutospacing="1" w:after="100" w:afterAutospacing="1" w:line="276" w:lineRule="auto"/>
        <w:ind w:left="567" w:hanging="567"/>
        <w:rPr>
          <w:rFonts w:asciiTheme="minorHAnsi" w:hAnsiTheme="minorHAnsi"/>
          <w:i/>
          <w:sz w:val="24"/>
          <w:szCs w:val="24"/>
        </w:rPr>
      </w:pPr>
      <w:r w:rsidRPr="00C07DEA">
        <w:rPr>
          <w:rStyle w:val="Zkladntext2"/>
          <w:rFonts w:asciiTheme="minorHAnsi" w:hAnsiTheme="minorHAnsi"/>
          <w:i/>
          <w:color w:val="000000"/>
          <w:sz w:val="24"/>
          <w:szCs w:val="24"/>
          <w:lang w:eastAsia="en-US"/>
        </w:rPr>
        <w:t xml:space="preserve">Snížení vypočte a uplatní operátor trhu OTE, tj. subjekt odpovědný za správu provozní podpory v rámci oznámeného systému. OTE vypočte příslušnou pevnou výkupní prémii pro vysokoúčinná zařízení KVET, která obdržela investiční podporu, na základě informací získaných od těchto zařízení v příslušné žádosti o podporu. </w:t>
      </w:r>
    </w:p>
    <w:p w14:paraId="4FC7822F" w14:textId="77777777" w:rsidR="00DA3320" w:rsidRPr="00C07DEA" w:rsidRDefault="00DA3320" w:rsidP="00C07DEA">
      <w:pPr>
        <w:pStyle w:val="Zkladntext21"/>
        <w:numPr>
          <w:ilvl w:val="0"/>
          <w:numId w:val="60"/>
        </w:numPr>
        <w:shd w:val="clear" w:color="auto" w:fill="auto"/>
        <w:spacing w:before="100" w:beforeAutospacing="1" w:after="100" w:afterAutospacing="1" w:line="276" w:lineRule="auto"/>
        <w:ind w:left="567" w:hanging="567"/>
        <w:rPr>
          <w:rFonts w:asciiTheme="minorHAnsi" w:hAnsiTheme="minorHAnsi"/>
          <w:i/>
          <w:sz w:val="24"/>
          <w:szCs w:val="24"/>
        </w:rPr>
      </w:pPr>
      <w:r w:rsidRPr="00C07DEA">
        <w:rPr>
          <w:rStyle w:val="Zkladntext2"/>
          <w:rFonts w:asciiTheme="minorHAnsi" w:hAnsiTheme="minorHAnsi"/>
          <w:i/>
          <w:color w:val="000000"/>
          <w:sz w:val="24"/>
          <w:szCs w:val="24"/>
          <w:lang w:eastAsia="en-US"/>
        </w:rPr>
        <w:t xml:space="preserve">Vzorec pro výpočet snížení umožňuje plně odečíst investiční podporu, kterou příjemci obdrželi v rámci oznámeného systému. </w:t>
      </w:r>
    </w:p>
    <w:p w14:paraId="33DA36E4" w14:textId="77777777" w:rsidR="00DA3320" w:rsidRPr="00C07DEA" w:rsidRDefault="00DA3320" w:rsidP="00C07DEA">
      <w:pPr>
        <w:pStyle w:val="Zkladntext21"/>
        <w:numPr>
          <w:ilvl w:val="0"/>
          <w:numId w:val="60"/>
        </w:numPr>
        <w:shd w:val="clear" w:color="auto" w:fill="auto"/>
        <w:spacing w:before="100" w:beforeAutospacing="1" w:after="100" w:afterAutospacing="1" w:line="276" w:lineRule="auto"/>
        <w:ind w:left="567" w:hanging="567"/>
        <w:rPr>
          <w:rFonts w:asciiTheme="minorHAnsi" w:hAnsiTheme="minorHAnsi"/>
          <w:i/>
          <w:sz w:val="24"/>
          <w:szCs w:val="24"/>
        </w:rPr>
      </w:pPr>
      <w:r w:rsidRPr="00C07DEA">
        <w:rPr>
          <w:rStyle w:val="Zkladntext2"/>
          <w:rFonts w:asciiTheme="minorHAnsi" w:hAnsiTheme="minorHAnsi"/>
          <w:i/>
          <w:color w:val="000000"/>
          <w:sz w:val="24"/>
          <w:szCs w:val="24"/>
          <w:lang w:eastAsia="en-US"/>
        </w:rPr>
        <w:t>Orgány ČR uvedly, že s podporou přidělenou v rámci oznámeného systému není možné kumulovat žádnou jinou provozní podporu.</w:t>
      </w:r>
    </w:p>
    <w:p w14:paraId="35C7BFFB" w14:textId="77777777" w:rsidR="00DA3320" w:rsidRDefault="00DA3320" w:rsidP="00DA3320">
      <w:pPr>
        <w:pStyle w:val="Default"/>
        <w:spacing w:before="100" w:beforeAutospacing="1" w:after="100" w:afterAutospacing="1" w:line="276" w:lineRule="auto"/>
        <w:jc w:val="both"/>
        <w:rPr>
          <w:rFonts w:asciiTheme="minorHAnsi" w:hAnsiTheme="minorHAnsi" w:cstheme="minorHAnsi"/>
          <w:i/>
        </w:rPr>
      </w:pPr>
    </w:p>
    <w:p w14:paraId="08A87FEA" w14:textId="77777777" w:rsidR="000A5DB5" w:rsidRDefault="000A5DB5" w:rsidP="00DA3320">
      <w:pPr>
        <w:pStyle w:val="Default"/>
        <w:spacing w:before="100" w:beforeAutospacing="1" w:after="100" w:afterAutospacing="1" w:line="276" w:lineRule="auto"/>
        <w:jc w:val="both"/>
        <w:rPr>
          <w:rFonts w:asciiTheme="minorHAnsi" w:hAnsiTheme="minorHAnsi" w:cstheme="minorHAnsi"/>
          <w:i/>
        </w:rPr>
      </w:pPr>
    </w:p>
    <w:p w14:paraId="433FF379" w14:textId="77777777" w:rsidR="000A5DB5" w:rsidRDefault="000A5DB5" w:rsidP="00DA3320">
      <w:pPr>
        <w:pStyle w:val="Default"/>
        <w:spacing w:before="100" w:beforeAutospacing="1" w:after="100" w:afterAutospacing="1" w:line="276" w:lineRule="auto"/>
        <w:jc w:val="both"/>
        <w:rPr>
          <w:rFonts w:asciiTheme="minorHAnsi" w:hAnsiTheme="minorHAnsi" w:cstheme="minorHAnsi"/>
          <w:i/>
        </w:rPr>
      </w:pPr>
    </w:p>
    <w:p w14:paraId="076C5406" w14:textId="77777777" w:rsidR="000A5DB5" w:rsidRPr="00C67F73" w:rsidRDefault="000A5DB5" w:rsidP="00DA3320">
      <w:pPr>
        <w:pStyle w:val="Default"/>
        <w:spacing w:before="100" w:beforeAutospacing="1" w:after="100" w:afterAutospacing="1" w:line="276" w:lineRule="auto"/>
        <w:jc w:val="both"/>
        <w:rPr>
          <w:rFonts w:asciiTheme="minorHAnsi" w:hAnsiTheme="minorHAnsi" w:cstheme="minorHAnsi"/>
          <w:i/>
        </w:rPr>
      </w:pPr>
    </w:p>
    <w:p w14:paraId="0B226F93" w14:textId="18F14979" w:rsidR="005F5C17" w:rsidRDefault="00DA3320" w:rsidP="00C07DEA">
      <w:pPr>
        <w:pStyle w:val="Odstavecseseznamem"/>
        <w:tabs>
          <w:tab w:val="left" w:pos="0"/>
        </w:tabs>
        <w:overflowPunct/>
        <w:autoSpaceDE/>
        <w:autoSpaceDN/>
        <w:adjustRightInd/>
        <w:spacing w:after="0" w:line="240" w:lineRule="auto"/>
        <w:ind w:left="142" w:hanging="142"/>
        <w:jc w:val="both"/>
        <w:textAlignment w:val="auto"/>
        <w:rPr>
          <w:rFonts w:cstheme="minorHAnsi"/>
          <w:b/>
          <w:sz w:val="24"/>
          <w:szCs w:val="24"/>
          <w:u w:val="single"/>
        </w:rPr>
      </w:pPr>
      <w:r w:rsidRPr="00C07DEA">
        <w:rPr>
          <w:rFonts w:cstheme="minorHAnsi"/>
          <w:b/>
          <w:sz w:val="24"/>
          <w:szCs w:val="24"/>
        </w:rPr>
        <w:t xml:space="preserve">F)   </w:t>
      </w:r>
      <w:r w:rsidR="00460B19">
        <w:rPr>
          <w:rFonts w:cstheme="minorHAnsi"/>
          <w:b/>
          <w:sz w:val="24"/>
          <w:szCs w:val="24"/>
          <w:u w:val="single"/>
        </w:rPr>
        <w:t>Očekávaný z</w:t>
      </w:r>
      <w:r w:rsidR="005F5C17" w:rsidRPr="000B4301">
        <w:rPr>
          <w:rFonts w:cstheme="minorHAnsi"/>
          <w:b/>
          <w:sz w:val="24"/>
          <w:szCs w:val="24"/>
          <w:u w:val="single"/>
        </w:rPr>
        <w:t>ávazek uvedený v</w:t>
      </w:r>
      <w:r w:rsidR="005F5C17">
        <w:rPr>
          <w:rFonts w:cstheme="minorHAnsi"/>
          <w:b/>
          <w:sz w:val="24"/>
          <w:szCs w:val="24"/>
          <w:u w:val="single"/>
        </w:rPr>
        <w:t> </w:t>
      </w:r>
      <w:r w:rsidR="005F5C17" w:rsidRPr="000B4301">
        <w:rPr>
          <w:rFonts w:cstheme="minorHAnsi"/>
          <w:b/>
          <w:sz w:val="24"/>
          <w:szCs w:val="24"/>
          <w:u w:val="single"/>
        </w:rPr>
        <w:t xml:space="preserve">rozhodnutí Evropské komise </w:t>
      </w:r>
      <w:r w:rsidR="005F5C17" w:rsidRPr="005F5C17">
        <w:rPr>
          <w:rFonts w:cstheme="minorHAnsi"/>
          <w:b/>
          <w:sz w:val="24"/>
          <w:szCs w:val="24"/>
          <w:u w:val="single"/>
        </w:rPr>
        <w:t>SA.38</w:t>
      </w:r>
      <w:r w:rsidR="005F5C17">
        <w:rPr>
          <w:rFonts w:cstheme="minorHAnsi"/>
          <w:b/>
          <w:sz w:val="24"/>
          <w:szCs w:val="24"/>
          <w:u w:val="single"/>
        </w:rPr>
        <w:t>701</w:t>
      </w:r>
      <w:r w:rsidR="005F5C17" w:rsidRPr="000B4301">
        <w:rPr>
          <w:rFonts w:cstheme="minorHAnsi"/>
          <w:b/>
          <w:sz w:val="24"/>
          <w:szCs w:val="24"/>
          <w:u w:val="single"/>
        </w:rPr>
        <w:t xml:space="preserve"> (2014/NN):</w:t>
      </w:r>
    </w:p>
    <w:p w14:paraId="18E8A7F9" w14:textId="77777777" w:rsidR="005F5C17" w:rsidRDefault="005F5C17" w:rsidP="000B4301">
      <w:pPr>
        <w:pStyle w:val="Odstavecseseznamem"/>
        <w:tabs>
          <w:tab w:val="left" w:pos="0"/>
        </w:tabs>
        <w:overflowPunct/>
        <w:autoSpaceDE/>
        <w:autoSpaceDN/>
        <w:adjustRightInd/>
        <w:spacing w:after="0" w:line="240" w:lineRule="auto"/>
        <w:jc w:val="both"/>
        <w:textAlignment w:val="auto"/>
        <w:rPr>
          <w:rFonts w:cstheme="minorHAnsi"/>
          <w:b/>
          <w:sz w:val="24"/>
          <w:szCs w:val="24"/>
          <w:u w:val="single"/>
        </w:rPr>
      </w:pPr>
    </w:p>
    <w:p w14:paraId="23750F4C" w14:textId="3B4D7766" w:rsidR="005F5C17" w:rsidRPr="00803792" w:rsidRDefault="005F5C17" w:rsidP="00803792">
      <w:pPr>
        <w:pStyle w:val="Odstavecseseznamem"/>
        <w:tabs>
          <w:tab w:val="left" w:pos="0"/>
        </w:tabs>
        <w:overflowPunct/>
        <w:autoSpaceDE/>
        <w:autoSpaceDN/>
        <w:adjustRightInd/>
        <w:spacing w:after="0" w:line="240" w:lineRule="auto"/>
        <w:ind w:left="0"/>
        <w:jc w:val="both"/>
        <w:textAlignment w:val="auto"/>
        <w:rPr>
          <w:bCs/>
          <w:sz w:val="24"/>
          <w:szCs w:val="24"/>
        </w:rPr>
      </w:pPr>
      <w:r w:rsidRPr="00803792">
        <w:rPr>
          <w:rFonts w:cstheme="minorHAnsi"/>
          <w:sz w:val="24"/>
          <w:szCs w:val="24"/>
        </w:rPr>
        <w:t xml:space="preserve">V průběhu první poloviny roky 2017 se dále očekává, že bude ukončeno také řízení </w:t>
      </w:r>
      <w:r w:rsidRPr="00803792">
        <w:rPr>
          <w:bCs/>
          <w:sz w:val="24"/>
          <w:szCs w:val="24"/>
        </w:rPr>
        <w:t>SA.38701 ( 2014/NN) Podpora výroby elektřiny z</w:t>
      </w:r>
      <w:r w:rsidR="008A54E1">
        <w:rPr>
          <w:bCs/>
          <w:sz w:val="24"/>
          <w:szCs w:val="24"/>
        </w:rPr>
        <w:t>e zařízení</w:t>
      </w:r>
      <w:r w:rsidRPr="00803792">
        <w:rPr>
          <w:bCs/>
          <w:sz w:val="24"/>
          <w:szCs w:val="24"/>
        </w:rPr>
        <w:t xml:space="preserve"> KVET uvedených do provozu od 1.1.2013-31.12.2015 a výroba tepla z OZE.</w:t>
      </w:r>
    </w:p>
    <w:p w14:paraId="3481EF7F" w14:textId="77777777" w:rsidR="005F5C17" w:rsidRPr="00803792" w:rsidRDefault="005F5C17" w:rsidP="00803792">
      <w:pPr>
        <w:pStyle w:val="Odstavecseseznamem"/>
        <w:tabs>
          <w:tab w:val="left" w:pos="0"/>
        </w:tabs>
        <w:overflowPunct/>
        <w:autoSpaceDE/>
        <w:autoSpaceDN/>
        <w:adjustRightInd/>
        <w:spacing w:after="0" w:line="240" w:lineRule="auto"/>
        <w:ind w:left="0" w:hanging="862"/>
        <w:jc w:val="both"/>
        <w:textAlignment w:val="auto"/>
        <w:rPr>
          <w:bCs/>
          <w:sz w:val="24"/>
          <w:szCs w:val="24"/>
        </w:rPr>
      </w:pPr>
    </w:p>
    <w:p w14:paraId="77CDB4AC" w14:textId="05B93C70" w:rsidR="005F5C17" w:rsidRPr="00803792" w:rsidRDefault="005F5C17" w:rsidP="00803792">
      <w:pPr>
        <w:pStyle w:val="Odstavecseseznamem"/>
        <w:tabs>
          <w:tab w:val="left" w:pos="0"/>
        </w:tabs>
        <w:overflowPunct/>
        <w:autoSpaceDE/>
        <w:autoSpaceDN/>
        <w:adjustRightInd/>
        <w:spacing w:after="0" w:line="240" w:lineRule="auto"/>
        <w:ind w:left="0"/>
        <w:jc w:val="both"/>
        <w:textAlignment w:val="auto"/>
        <w:rPr>
          <w:rFonts w:cstheme="minorHAnsi"/>
          <w:sz w:val="24"/>
          <w:szCs w:val="24"/>
        </w:rPr>
      </w:pPr>
      <w:r w:rsidRPr="00803792">
        <w:rPr>
          <w:bCs/>
          <w:sz w:val="24"/>
          <w:szCs w:val="24"/>
        </w:rPr>
        <w:t>Jelikož i zde bylo zahájení poskytování podpory aplikovány před vydáním rozhodnutí Evropské komise bude i v rozhodnutí pro tento druh podporovaného zdroje zaveden mechanismus</w:t>
      </w:r>
      <w:r w:rsidR="00777AA3">
        <w:rPr>
          <w:bCs/>
          <w:sz w:val="24"/>
          <w:szCs w:val="24"/>
        </w:rPr>
        <w:t xml:space="preserve"> kontroly přiměřenosti podpory</w:t>
      </w:r>
      <w:r w:rsidRPr="00803792">
        <w:rPr>
          <w:bCs/>
          <w:sz w:val="24"/>
          <w:szCs w:val="24"/>
        </w:rPr>
        <w:t>.</w:t>
      </w:r>
    </w:p>
    <w:p w14:paraId="77B0FCE2" w14:textId="77777777" w:rsidR="00803792" w:rsidRDefault="00803792" w:rsidP="00803792">
      <w:pPr>
        <w:spacing w:after="0"/>
        <w:jc w:val="both"/>
        <w:rPr>
          <w:rFonts w:ascii="Calibri" w:hAnsi="Calibri"/>
          <w:sz w:val="24"/>
          <w:szCs w:val="24"/>
          <w:lang w:eastAsia="en-US"/>
        </w:rPr>
      </w:pPr>
    </w:p>
    <w:p w14:paraId="102A21AE" w14:textId="59603FC1" w:rsidR="005F5C17" w:rsidRPr="00803792" w:rsidRDefault="00803792" w:rsidP="00803792">
      <w:pPr>
        <w:spacing w:after="0"/>
        <w:jc w:val="both"/>
        <w:rPr>
          <w:rFonts w:ascii="Calibri" w:hAnsi="Calibri"/>
          <w:sz w:val="24"/>
          <w:szCs w:val="24"/>
          <w:lang w:eastAsia="en-US"/>
        </w:rPr>
      </w:pPr>
      <w:r w:rsidRPr="00803792">
        <w:rPr>
          <w:rFonts w:ascii="Calibri" w:hAnsi="Calibri"/>
          <w:sz w:val="24"/>
          <w:szCs w:val="24"/>
          <w:lang w:eastAsia="en-US"/>
        </w:rPr>
        <w:t>Předpokládá</w:t>
      </w:r>
      <w:r>
        <w:rPr>
          <w:rFonts w:ascii="Calibri" w:hAnsi="Calibri"/>
          <w:sz w:val="24"/>
          <w:szCs w:val="24"/>
          <w:lang w:eastAsia="en-US"/>
        </w:rPr>
        <w:t xml:space="preserve"> se</w:t>
      </w:r>
      <w:r w:rsidR="005F5C17" w:rsidRPr="00803792">
        <w:rPr>
          <w:rFonts w:ascii="Calibri" w:hAnsi="Calibri"/>
          <w:sz w:val="24"/>
          <w:szCs w:val="24"/>
          <w:lang w:eastAsia="en-US"/>
        </w:rPr>
        <w:t xml:space="preserve">, že text závazku na mechanismus </w:t>
      </w:r>
      <w:r w:rsidR="00777AA3">
        <w:rPr>
          <w:rFonts w:ascii="Calibri" w:hAnsi="Calibri"/>
          <w:sz w:val="24"/>
          <w:szCs w:val="24"/>
          <w:lang w:eastAsia="en-US"/>
        </w:rPr>
        <w:t xml:space="preserve">kontroly přiměřenosti </w:t>
      </w:r>
      <w:r w:rsidR="005F5C17" w:rsidRPr="00803792">
        <w:rPr>
          <w:rFonts w:ascii="Calibri" w:hAnsi="Calibri"/>
          <w:sz w:val="24"/>
          <w:szCs w:val="24"/>
          <w:lang w:eastAsia="en-US"/>
        </w:rPr>
        <w:t>podpory v řízení KVET 2013-2015 se bude blížit textově závazku, který je uveden v rozhodnutí pro OZE 2006-2012 (SA. 40171)</w:t>
      </w:r>
      <w:r w:rsidR="00460B19" w:rsidRPr="00803792">
        <w:rPr>
          <w:rFonts w:ascii="Calibri" w:hAnsi="Calibri"/>
          <w:sz w:val="24"/>
          <w:szCs w:val="24"/>
          <w:lang w:eastAsia="en-US"/>
        </w:rPr>
        <w:t>.</w:t>
      </w:r>
    </w:p>
    <w:p w14:paraId="27761283" w14:textId="77777777" w:rsidR="00803792" w:rsidRDefault="00803792" w:rsidP="00803792">
      <w:pPr>
        <w:spacing w:after="0"/>
        <w:jc w:val="both"/>
        <w:rPr>
          <w:rFonts w:ascii="Calibri" w:hAnsi="Calibri"/>
          <w:sz w:val="24"/>
          <w:szCs w:val="24"/>
        </w:rPr>
      </w:pPr>
    </w:p>
    <w:p w14:paraId="0ADE3D62" w14:textId="5995D97E" w:rsidR="005F5C17" w:rsidRPr="00803792" w:rsidRDefault="00460B19" w:rsidP="00803792">
      <w:pPr>
        <w:spacing w:after="0"/>
        <w:jc w:val="both"/>
        <w:rPr>
          <w:sz w:val="24"/>
          <w:szCs w:val="24"/>
        </w:rPr>
      </w:pPr>
      <w:r w:rsidRPr="00803792">
        <w:rPr>
          <w:rFonts w:ascii="Calibri" w:hAnsi="Calibri"/>
          <w:sz w:val="24"/>
          <w:szCs w:val="24"/>
        </w:rPr>
        <w:t xml:space="preserve">Dále je nutné </w:t>
      </w:r>
      <w:r w:rsidR="00B355E6">
        <w:rPr>
          <w:rFonts w:ascii="Calibri" w:hAnsi="Calibri"/>
          <w:sz w:val="24"/>
          <w:szCs w:val="24"/>
        </w:rPr>
        <w:t>u</w:t>
      </w:r>
      <w:r w:rsidR="00B355E6" w:rsidRPr="00803792">
        <w:rPr>
          <w:rFonts w:ascii="Calibri" w:hAnsi="Calibri"/>
          <w:sz w:val="24"/>
          <w:szCs w:val="24"/>
        </w:rPr>
        <w:t>vést</w:t>
      </w:r>
      <w:r w:rsidRPr="00803792">
        <w:rPr>
          <w:rFonts w:ascii="Calibri" w:hAnsi="Calibri"/>
          <w:sz w:val="24"/>
          <w:szCs w:val="24"/>
        </w:rPr>
        <w:t xml:space="preserve">, že </w:t>
      </w:r>
      <w:r w:rsidR="005F5C17" w:rsidRPr="00803792">
        <w:rPr>
          <w:rFonts w:ascii="Calibri" w:hAnsi="Calibri"/>
          <w:sz w:val="24"/>
          <w:szCs w:val="24"/>
        </w:rPr>
        <w:t xml:space="preserve">hodnota </w:t>
      </w:r>
      <w:r w:rsidRPr="00803792">
        <w:rPr>
          <w:rFonts w:ascii="Calibri" w:hAnsi="Calibri"/>
          <w:sz w:val="24"/>
          <w:szCs w:val="24"/>
        </w:rPr>
        <w:t xml:space="preserve">vnitřního výnosového </w:t>
      </w:r>
      <w:r w:rsidR="00B355E6">
        <w:rPr>
          <w:rFonts w:ascii="Calibri" w:hAnsi="Calibri"/>
          <w:sz w:val="24"/>
          <w:szCs w:val="24"/>
        </w:rPr>
        <w:t>procenta</w:t>
      </w:r>
      <w:r w:rsidRPr="00803792">
        <w:rPr>
          <w:rFonts w:ascii="Calibri" w:hAnsi="Calibri"/>
          <w:sz w:val="24"/>
          <w:szCs w:val="24"/>
        </w:rPr>
        <w:t xml:space="preserve"> (</w:t>
      </w:r>
      <w:r w:rsidR="005F5C17" w:rsidRPr="00803792">
        <w:rPr>
          <w:rFonts w:ascii="Calibri" w:hAnsi="Calibri"/>
          <w:sz w:val="24"/>
          <w:szCs w:val="24"/>
        </w:rPr>
        <w:t>IRR</w:t>
      </w:r>
      <w:r w:rsidRPr="00803792">
        <w:rPr>
          <w:rFonts w:ascii="Calibri" w:hAnsi="Calibri"/>
          <w:sz w:val="24"/>
          <w:szCs w:val="24"/>
        </w:rPr>
        <w:t>)</w:t>
      </w:r>
      <w:r w:rsidR="005F5C17" w:rsidRPr="00803792">
        <w:rPr>
          <w:rFonts w:ascii="Calibri" w:hAnsi="Calibri"/>
          <w:sz w:val="24"/>
          <w:szCs w:val="24"/>
        </w:rPr>
        <w:t xml:space="preserve"> uvedená v</w:t>
      </w:r>
      <w:r w:rsidRPr="00803792">
        <w:rPr>
          <w:rFonts w:ascii="Calibri" w:hAnsi="Calibri"/>
          <w:sz w:val="24"/>
          <w:szCs w:val="24"/>
        </w:rPr>
        <w:t xml:space="preserve"> budoucím </w:t>
      </w:r>
      <w:r w:rsidR="005F5C17" w:rsidRPr="00803792">
        <w:rPr>
          <w:rFonts w:ascii="Calibri" w:hAnsi="Calibri"/>
          <w:sz w:val="24"/>
          <w:szCs w:val="24"/>
        </w:rPr>
        <w:t xml:space="preserve">rozhodnutí </w:t>
      </w:r>
      <w:r w:rsidRPr="00803792">
        <w:rPr>
          <w:rFonts w:ascii="Calibri" w:hAnsi="Calibri"/>
          <w:sz w:val="24"/>
          <w:szCs w:val="24"/>
        </w:rPr>
        <w:t xml:space="preserve">pro zdroje </w:t>
      </w:r>
      <w:r w:rsidR="005F5C17" w:rsidRPr="00803792">
        <w:rPr>
          <w:rFonts w:ascii="Calibri" w:hAnsi="Calibri"/>
          <w:sz w:val="24"/>
          <w:szCs w:val="24"/>
        </w:rPr>
        <w:t xml:space="preserve">KVET </w:t>
      </w:r>
      <w:r w:rsidRPr="00803792">
        <w:rPr>
          <w:rFonts w:ascii="Calibri" w:hAnsi="Calibri"/>
          <w:sz w:val="24"/>
          <w:szCs w:val="24"/>
        </w:rPr>
        <w:t xml:space="preserve">uvedené do provozu v období </w:t>
      </w:r>
      <w:r w:rsidR="005F5C17" w:rsidRPr="00803792">
        <w:rPr>
          <w:rFonts w:ascii="Calibri" w:hAnsi="Calibri"/>
          <w:sz w:val="24"/>
          <w:szCs w:val="24"/>
        </w:rPr>
        <w:t xml:space="preserve">2013-2015 by příslušela pouze pro </w:t>
      </w:r>
      <w:r w:rsidRPr="00803792">
        <w:rPr>
          <w:rFonts w:ascii="Calibri" w:hAnsi="Calibri"/>
          <w:sz w:val="24"/>
          <w:szCs w:val="24"/>
        </w:rPr>
        <w:t>zařízení KVET využívající neobnovitelné zdroje energie (NEOZE). P</w:t>
      </w:r>
      <w:r w:rsidR="005F5C17" w:rsidRPr="00803792">
        <w:rPr>
          <w:rFonts w:ascii="Calibri" w:hAnsi="Calibri"/>
          <w:sz w:val="24"/>
          <w:szCs w:val="24"/>
        </w:rPr>
        <w:t xml:space="preserve">ro </w:t>
      </w:r>
      <w:r w:rsidRPr="00803792">
        <w:rPr>
          <w:rFonts w:ascii="Calibri" w:hAnsi="Calibri"/>
          <w:sz w:val="24"/>
          <w:szCs w:val="24"/>
        </w:rPr>
        <w:t xml:space="preserve">zařízení </w:t>
      </w:r>
      <w:r w:rsidR="005F5C17" w:rsidRPr="00803792">
        <w:rPr>
          <w:rFonts w:ascii="Calibri" w:hAnsi="Calibri"/>
          <w:sz w:val="24"/>
          <w:szCs w:val="24"/>
        </w:rPr>
        <w:t xml:space="preserve">KVET </w:t>
      </w:r>
      <w:r w:rsidRPr="00803792">
        <w:rPr>
          <w:rFonts w:ascii="Calibri" w:hAnsi="Calibri"/>
          <w:sz w:val="24"/>
          <w:szCs w:val="24"/>
        </w:rPr>
        <w:t xml:space="preserve">využívající obnovitelné zdroje </w:t>
      </w:r>
      <w:r w:rsidR="005F5C17" w:rsidRPr="00803792">
        <w:rPr>
          <w:rFonts w:ascii="Calibri" w:hAnsi="Calibri"/>
          <w:sz w:val="24"/>
          <w:szCs w:val="24"/>
        </w:rPr>
        <w:t xml:space="preserve">OZE by měly platit hodnoty IRR </w:t>
      </w:r>
      <w:r w:rsidRPr="00803792">
        <w:rPr>
          <w:rFonts w:ascii="Calibri" w:hAnsi="Calibri"/>
          <w:sz w:val="24"/>
          <w:szCs w:val="24"/>
        </w:rPr>
        <w:t>uvedené</w:t>
      </w:r>
      <w:r w:rsidR="005F5C17" w:rsidRPr="00803792">
        <w:rPr>
          <w:rFonts w:ascii="Calibri" w:hAnsi="Calibri"/>
          <w:sz w:val="24"/>
          <w:szCs w:val="24"/>
        </w:rPr>
        <w:t xml:space="preserve"> z řízení OZE 2006-2012 (v rámci řešení kumulace podpory elektřiny z OZE a podpory </w:t>
      </w:r>
      <w:r w:rsidR="00C35BF3">
        <w:rPr>
          <w:rFonts w:ascii="Calibri" w:hAnsi="Calibri"/>
          <w:sz w:val="24"/>
          <w:szCs w:val="24"/>
        </w:rPr>
        <w:t xml:space="preserve">elektřiny z </w:t>
      </w:r>
      <w:r w:rsidR="005F5C17" w:rsidRPr="00803792">
        <w:rPr>
          <w:rFonts w:ascii="Calibri" w:hAnsi="Calibri"/>
          <w:sz w:val="24"/>
          <w:szCs w:val="24"/>
        </w:rPr>
        <w:t>KVET), a to ve výši 10,6 % pro bioplyn a 9,5 %</w:t>
      </w:r>
      <w:r w:rsidR="008804DE">
        <w:rPr>
          <w:rFonts w:ascii="Calibri" w:hAnsi="Calibri"/>
          <w:sz w:val="24"/>
          <w:szCs w:val="24"/>
        </w:rPr>
        <w:t xml:space="preserve"> pro biomasu</w:t>
      </w:r>
      <w:r w:rsidR="005F5C17" w:rsidRPr="00803792">
        <w:rPr>
          <w:rFonts w:ascii="Calibri" w:hAnsi="Calibri"/>
          <w:sz w:val="24"/>
          <w:szCs w:val="24"/>
        </w:rPr>
        <w:t>.</w:t>
      </w:r>
    </w:p>
    <w:p w14:paraId="2E2C7D44" w14:textId="77777777" w:rsidR="00C12A5B" w:rsidRDefault="00C12A5B" w:rsidP="00816A2B">
      <w:pPr>
        <w:tabs>
          <w:tab w:val="left" w:pos="0"/>
        </w:tabs>
        <w:overflowPunct/>
        <w:autoSpaceDE/>
        <w:autoSpaceDN/>
        <w:adjustRightInd/>
        <w:spacing w:after="0" w:line="240" w:lineRule="auto"/>
        <w:jc w:val="both"/>
        <w:textAlignment w:val="auto"/>
        <w:rPr>
          <w:i/>
          <w:sz w:val="24"/>
          <w:szCs w:val="24"/>
        </w:rPr>
      </w:pPr>
    </w:p>
    <w:p w14:paraId="26743811" w14:textId="77777777" w:rsidR="00460B19" w:rsidRDefault="00460B19" w:rsidP="00816A2B">
      <w:pPr>
        <w:tabs>
          <w:tab w:val="left" w:pos="0"/>
        </w:tabs>
        <w:overflowPunct/>
        <w:autoSpaceDE/>
        <w:autoSpaceDN/>
        <w:adjustRightInd/>
        <w:spacing w:after="0" w:line="240" w:lineRule="auto"/>
        <w:jc w:val="both"/>
        <w:textAlignment w:val="auto"/>
        <w:rPr>
          <w:i/>
          <w:sz w:val="24"/>
          <w:szCs w:val="24"/>
        </w:rPr>
      </w:pPr>
    </w:p>
    <w:p w14:paraId="5397B360" w14:textId="77777777" w:rsidR="00460B19" w:rsidRDefault="00460B19" w:rsidP="00816A2B">
      <w:pPr>
        <w:tabs>
          <w:tab w:val="left" w:pos="0"/>
        </w:tabs>
        <w:overflowPunct/>
        <w:autoSpaceDE/>
        <w:autoSpaceDN/>
        <w:adjustRightInd/>
        <w:spacing w:after="0" w:line="240" w:lineRule="auto"/>
        <w:jc w:val="both"/>
        <w:textAlignment w:val="auto"/>
        <w:rPr>
          <w:i/>
          <w:sz w:val="24"/>
          <w:szCs w:val="24"/>
        </w:rPr>
      </w:pPr>
    </w:p>
    <w:p w14:paraId="5C94CFF7" w14:textId="77777777" w:rsidR="00DA3320" w:rsidRDefault="00DA3320" w:rsidP="00816A2B">
      <w:pPr>
        <w:tabs>
          <w:tab w:val="left" w:pos="0"/>
        </w:tabs>
        <w:overflowPunct/>
        <w:autoSpaceDE/>
        <w:autoSpaceDN/>
        <w:adjustRightInd/>
        <w:spacing w:after="0" w:line="240" w:lineRule="auto"/>
        <w:jc w:val="both"/>
        <w:textAlignment w:val="auto"/>
        <w:rPr>
          <w:i/>
          <w:sz w:val="24"/>
          <w:szCs w:val="24"/>
        </w:rPr>
      </w:pPr>
    </w:p>
    <w:p w14:paraId="53FB20D4" w14:textId="77777777" w:rsidR="00DA3320" w:rsidRDefault="00DA3320" w:rsidP="00816A2B">
      <w:pPr>
        <w:tabs>
          <w:tab w:val="left" w:pos="0"/>
        </w:tabs>
        <w:overflowPunct/>
        <w:autoSpaceDE/>
        <w:autoSpaceDN/>
        <w:adjustRightInd/>
        <w:spacing w:after="0" w:line="240" w:lineRule="auto"/>
        <w:jc w:val="both"/>
        <w:textAlignment w:val="auto"/>
        <w:rPr>
          <w:i/>
          <w:sz w:val="24"/>
          <w:szCs w:val="24"/>
        </w:rPr>
      </w:pPr>
    </w:p>
    <w:p w14:paraId="642746A5" w14:textId="77777777" w:rsidR="00DA3320" w:rsidRDefault="00DA3320" w:rsidP="00816A2B">
      <w:pPr>
        <w:tabs>
          <w:tab w:val="left" w:pos="0"/>
        </w:tabs>
        <w:overflowPunct/>
        <w:autoSpaceDE/>
        <w:autoSpaceDN/>
        <w:adjustRightInd/>
        <w:spacing w:after="0" w:line="240" w:lineRule="auto"/>
        <w:jc w:val="both"/>
        <w:textAlignment w:val="auto"/>
        <w:rPr>
          <w:i/>
          <w:sz w:val="24"/>
          <w:szCs w:val="24"/>
        </w:rPr>
      </w:pPr>
    </w:p>
    <w:p w14:paraId="51CE1BC8" w14:textId="77777777" w:rsidR="00DA3320" w:rsidRDefault="00DA3320" w:rsidP="00816A2B">
      <w:pPr>
        <w:tabs>
          <w:tab w:val="left" w:pos="0"/>
        </w:tabs>
        <w:overflowPunct/>
        <w:autoSpaceDE/>
        <w:autoSpaceDN/>
        <w:adjustRightInd/>
        <w:spacing w:after="0" w:line="240" w:lineRule="auto"/>
        <w:jc w:val="both"/>
        <w:textAlignment w:val="auto"/>
        <w:rPr>
          <w:i/>
          <w:sz w:val="24"/>
          <w:szCs w:val="24"/>
        </w:rPr>
      </w:pPr>
    </w:p>
    <w:p w14:paraId="6B0C9A73" w14:textId="77777777" w:rsidR="00DA3320" w:rsidRDefault="00DA3320" w:rsidP="00816A2B">
      <w:pPr>
        <w:tabs>
          <w:tab w:val="left" w:pos="0"/>
        </w:tabs>
        <w:overflowPunct/>
        <w:autoSpaceDE/>
        <w:autoSpaceDN/>
        <w:adjustRightInd/>
        <w:spacing w:after="0" w:line="240" w:lineRule="auto"/>
        <w:jc w:val="both"/>
        <w:textAlignment w:val="auto"/>
        <w:rPr>
          <w:i/>
          <w:sz w:val="24"/>
          <w:szCs w:val="24"/>
        </w:rPr>
      </w:pPr>
    </w:p>
    <w:p w14:paraId="5D8E22F7" w14:textId="77777777" w:rsidR="00DA3320" w:rsidRDefault="00DA3320" w:rsidP="00816A2B">
      <w:pPr>
        <w:tabs>
          <w:tab w:val="left" w:pos="0"/>
        </w:tabs>
        <w:overflowPunct/>
        <w:autoSpaceDE/>
        <w:autoSpaceDN/>
        <w:adjustRightInd/>
        <w:spacing w:after="0" w:line="240" w:lineRule="auto"/>
        <w:jc w:val="both"/>
        <w:textAlignment w:val="auto"/>
        <w:rPr>
          <w:i/>
          <w:sz w:val="24"/>
          <w:szCs w:val="24"/>
        </w:rPr>
      </w:pPr>
    </w:p>
    <w:p w14:paraId="30E03ADE" w14:textId="77777777" w:rsidR="00DA3320" w:rsidRDefault="00DA3320" w:rsidP="00816A2B">
      <w:pPr>
        <w:tabs>
          <w:tab w:val="left" w:pos="0"/>
        </w:tabs>
        <w:overflowPunct/>
        <w:autoSpaceDE/>
        <w:autoSpaceDN/>
        <w:adjustRightInd/>
        <w:spacing w:after="0" w:line="240" w:lineRule="auto"/>
        <w:jc w:val="both"/>
        <w:textAlignment w:val="auto"/>
        <w:rPr>
          <w:i/>
          <w:sz w:val="24"/>
          <w:szCs w:val="24"/>
        </w:rPr>
      </w:pPr>
    </w:p>
    <w:p w14:paraId="61E02406" w14:textId="77777777" w:rsidR="000A5DB5" w:rsidRDefault="000A5DB5" w:rsidP="00816A2B">
      <w:pPr>
        <w:tabs>
          <w:tab w:val="left" w:pos="0"/>
        </w:tabs>
        <w:overflowPunct/>
        <w:autoSpaceDE/>
        <w:autoSpaceDN/>
        <w:adjustRightInd/>
        <w:spacing w:after="0" w:line="240" w:lineRule="auto"/>
        <w:jc w:val="both"/>
        <w:textAlignment w:val="auto"/>
        <w:rPr>
          <w:i/>
          <w:sz w:val="24"/>
          <w:szCs w:val="24"/>
        </w:rPr>
      </w:pPr>
    </w:p>
    <w:p w14:paraId="6ED2DCB5" w14:textId="77777777" w:rsidR="000A5DB5" w:rsidRDefault="000A5DB5" w:rsidP="00816A2B">
      <w:pPr>
        <w:tabs>
          <w:tab w:val="left" w:pos="0"/>
        </w:tabs>
        <w:overflowPunct/>
        <w:autoSpaceDE/>
        <w:autoSpaceDN/>
        <w:adjustRightInd/>
        <w:spacing w:after="0" w:line="240" w:lineRule="auto"/>
        <w:jc w:val="both"/>
        <w:textAlignment w:val="auto"/>
        <w:rPr>
          <w:i/>
          <w:sz w:val="24"/>
          <w:szCs w:val="24"/>
        </w:rPr>
      </w:pPr>
    </w:p>
    <w:p w14:paraId="2A6A067D" w14:textId="77777777" w:rsidR="000A5DB5" w:rsidRDefault="000A5DB5" w:rsidP="00816A2B">
      <w:pPr>
        <w:tabs>
          <w:tab w:val="left" w:pos="0"/>
        </w:tabs>
        <w:overflowPunct/>
        <w:autoSpaceDE/>
        <w:autoSpaceDN/>
        <w:adjustRightInd/>
        <w:spacing w:after="0" w:line="240" w:lineRule="auto"/>
        <w:jc w:val="both"/>
        <w:textAlignment w:val="auto"/>
        <w:rPr>
          <w:i/>
          <w:sz w:val="24"/>
          <w:szCs w:val="24"/>
        </w:rPr>
      </w:pPr>
    </w:p>
    <w:p w14:paraId="4087B144" w14:textId="77777777" w:rsidR="000A5DB5" w:rsidRDefault="000A5DB5" w:rsidP="00816A2B">
      <w:pPr>
        <w:tabs>
          <w:tab w:val="left" w:pos="0"/>
        </w:tabs>
        <w:overflowPunct/>
        <w:autoSpaceDE/>
        <w:autoSpaceDN/>
        <w:adjustRightInd/>
        <w:spacing w:after="0" w:line="240" w:lineRule="auto"/>
        <w:jc w:val="both"/>
        <w:textAlignment w:val="auto"/>
        <w:rPr>
          <w:i/>
          <w:sz w:val="24"/>
          <w:szCs w:val="24"/>
        </w:rPr>
      </w:pPr>
    </w:p>
    <w:p w14:paraId="30A85EF6" w14:textId="77777777" w:rsidR="000A5DB5" w:rsidRDefault="000A5DB5" w:rsidP="00816A2B">
      <w:pPr>
        <w:tabs>
          <w:tab w:val="left" w:pos="0"/>
        </w:tabs>
        <w:overflowPunct/>
        <w:autoSpaceDE/>
        <w:autoSpaceDN/>
        <w:adjustRightInd/>
        <w:spacing w:after="0" w:line="240" w:lineRule="auto"/>
        <w:jc w:val="both"/>
        <w:textAlignment w:val="auto"/>
        <w:rPr>
          <w:i/>
          <w:sz w:val="24"/>
          <w:szCs w:val="24"/>
        </w:rPr>
      </w:pPr>
    </w:p>
    <w:p w14:paraId="464FD45D" w14:textId="77777777" w:rsidR="000A5DB5" w:rsidRDefault="000A5DB5" w:rsidP="00816A2B">
      <w:pPr>
        <w:tabs>
          <w:tab w:val="left" w:pos="0"/>
        </w:tabs>
        <w:overflowPunct/>
        <w:autoSpaceDE/>
        <w:autoSpaceDN/>
        <w:adjustRightInd/>
        <w:spacing w:after="0" w:line="240" w:lineRule="auto"/>
        <w:jc w:val="both"/>
        <w:textAlignment w:val="auto"/>
        <w:rPr>
          <w:i/>
          <w:sz w:val="24"/>
          <w:szCs w:val="24"/>
        </w:rPr>
      </w:pPr>
    </w:p>
    <w:p w14:paraId="7F92DB2F" w14:textId="77777777" w:rsidR="000A5DB5" w:rsidRDefault="000A5DB5" w:rsidP="00816A2B">
      <w:pPr>
        <w:tabs>
          <w:tab w:val="left" w:pos="0"/>
        </w:tabs>
        <w:overflowPunct/>
        <w:autoSpaceDE/>
        <w:autoSpaceDN/>
        <w:adjustRightInd/>
        <w:spacing w:after="0" w:line="240" w:lineRule="auto"/>
        <w:jc w:val="both"/>
        <w:textAlignment w:val="auto"/>
        <w:rPr>
          <w:i/>
          <w:sz w:val="24"/>
          <w:szCs w:val="24"/>
        </w:rPr>
      </w:pPr>
    </w:p>
    <w:p w14:paraId="3FEF8D64" w14:textId="77777777" w:rsidR="000A5DB5" w:rsidRDefault="000A5DB5" w:rsidP="00816A2B">
      <w:pPr>
        <w:tabs>
          <w:tab w:val="left" w:pos="0"/>
        </w:tabs>
        <w:overflowPunct/>
        <w:autoSpaceDE/>
        <w:autoSpaceDN/>
        <w:adjustRightInd/>
        <w:spacing w:after="0" w:line="240" w:lineRule="auto"/>
        <w:jc w:val="both"/>
        <w:textAlignment w:val="auto"/>
        <w:rPr>
          <w:i/>
          <w:sz w:val="24"/>
          <w:szCs w:val="24"/>
        </w:rPr>
      </w:pPr>
    </w:p>
    <w:p w14:paraId="640FFDC8" w14:textId="77777777" w:rsidR="000A5DB5" w:rsidRDefault="000A5DB5" w:rsidP="00816A2B">
      <w:pPr>
        <w:tabs>
          <w:tab w:val="left" w:pos="0"/>
        </w:tabs>
        <w:overflowPunct/>
        <w:autoSpaceDE/>
        <w:autoSpaceDN/>
        <w:adjustRightInd/>
        <w:spacing w:after="0" w:line="240" w:lineRule="auto"/>
        <w:jc w:val="both"/>
        <w:textAlignment w:val="auto"/>
        <w:rPr>
          <w:i/>
          <w:sz w:val="24"/>
          <w:szCs w:val="24"/>
        </w:rPr>
      </w:pPr>
    </w:p>
    <w:p w14:paraId="5487D44C" w14:textId="77777777" w:rsidR="000A5DB5" w:rsidRDefault="000A5DB5" w:rsidP="00816A2B">
      <w:pPr>
        <w:tabs>
          <w:tab w:val="left" w:pos="0"/>
        </w:tabs>
        <w:overflowPunct/>
        <w:autoSpaceDE/>
        <w:autoSpaceDN/>
        <w:adjustRightInd/>
        <w:spacing w:after="0" w:line="240" w:lineRule="auto"/>
        <w:jc w:val="both"/>
        <w:textAlignment w:val="auto"/>
        <w:rPr>
          <w:i/>
          <w:sz w:val="24"/>
          <w:szCs w:val="24"/>
        </w:rPr>
      </w:pPr>
    </w:p>
    <w:p w14:paraId="79E83E00" w14:textId="77777777" w:rsidR="000A5DB5" w:rsidRDefault="000A5DB5" w:rsidP="00816A2B">
      <w:pPr>
        <w:tabs>
          <w:tab w:val="left" w:pos="0"/>
        </w:tabs>
        <w:overflowPunct/>
        <w:autoSpaceDE/>
        <w:autoSpaceDN/>
        <w:adjustRightInd/>
        <w:spacing w:after="0" w:line="240" w:lineRule="auto"/>
        <w:jc w:val="both"/>
        <w:textAlignment w:val="auto"/>
        <w:rPr>
          <w:i/>
          <w:sz w:val="24"/>
          <w:szCs w:val="24"/>
        </w:rPr>
      </w:pPr>
    </w:p>
    <w:p w14:paraId="5D9F7066" w14:textId="77777777" w:rsidR="000A5DB5" w:rsidRDefault="000A5DB5" w:rsidP="00816A2B">
      <w:pPr>
        <w:tabs>
          <w:tab w:val="left" w:pos="0"/>
        </w:tabs>
        <w:overflowPunct/>
        <w:autoSpaceDE/>
        <w:autoSpaceDN/>
        <w:adjustRightInd/>
        <w:spacing w:after="0" w:line="240" w:lineRule="auto"/>
        <w:jc w:val="both"/>
        <w:textAlignment w:val="auto"/>
        <w:rPr>
          <w:i/>
          <w:sz w:val="24"/>
          <w:szCs w:val="24"/>
        </w:rPr>
      </w:pPr>
    </w:p>
    <w:p w14:paraId="253F2806" w14:textId="77777777" w:rsidR="00DA3320" w:rsidRDefault="00DA3320" w:rsidP="00816A2B">
      <w:pPr>
        <w:tabs>
          <w:tab w:val="left" w:pos="0"/>
        </w:tabs>
        <w:overflowPunct/>
        <w:autoSpaceDE/>
        <w:autoSpaceDN/>
        <w:adjustRightInd/>
        <w:spacing w:after="0" w:line="240" w:lineRule="auto"/>
        <w:jc w:val="both"/>
        <w:textAlignment w:val="auto"/>
        <w:rPr>
          <w:i/>
          <w:sz w:val="24"/>
          <w:szCs w:val="24"/>
        </w:rPr>
      </w:pPr>
    </w:p>
    <w:p w14:paraId="7B9C66B8" w14:textId="77777777" w:rsidR="00C07DEA" w:rsidRDefault="00C07DEA" w:rsidP="00816A2B">
      <w:pPr>
        <w:tabs>
          <w:tab w:val="left" w:pos="0"/>
        </w:tabs>
        <w:overflowPunct/>
        <w:autoSpaceDE/>
        <w:autoSpaceDN/>
        <w:adjustRightInd/>
        <w:spacing w:after="0" w:line="240" w:lineRule="auto"/>
        <w:jc w:val="both"/>
        <w:textAlignment w:val="auto"/>
        <w:rPr>
          <w:i/>
          <w:sz w:val="24"/>
          <w:szCs w:val="24"/>
        </w:rPr>
      </w:pPr>
    </w:p>
    <w:p w14:paraId="7BCE5891" w14:textId="7642F402" w:rsidR="004C561B" w:rsidRPr="00FD48F4" w:rsidRDefault="004C561B" w:rsidP="000B4301">
      <w:pPr>
        <w:pStyle w:val="Nadpis1"/>
        <w:numPr>
          <w:ilvl w:val="0"/>
          <w:numId w:val="24"/>
        </w:numPr>
        <w:ind w:left="426" w:hanging="426"/>
        <w:jc w:val="both"/>
        <w:rPr>
          <w:rFonts w:asciiTheme="majorHAnsi" w:hAnsiTheme="majorHAnsi"/>
          <w:b w:val="0"/>
          <w:sz w:val="32"/>
          <w:szCs w:val="32"/>
        </w:rPr>
      </w:pPr>
      <w:bookmarkStart w:id="4" w:name="_Toc476517918"/>
      <w:r w:rsidRPr="00FD48F4">
        <w:rPr>
          <w:rFonts w:asciiTheme="majorHAnsi" w:hAnsiTheme="majorHAnsi"/>
          <w:sz w:val="32"/>
          <w:szCs w:val="32"/>
        </w:rPr>
        <w:t>Porovnání závazk</w:t>
      </w:r>
      <w:r w:rsidR="004D26B7" w:rsidRPr="00FD48F4">
        <w:rPr>
          <w:rFonts w:asciiTheme="majorHAnsi" w:hAnsiTheme="majorHAnsi"/>
          <w:sz w:val="32"/>
          <w:szCs w:val="32"/>
        </w:rPr>
        <w:t>u</w:t>
      </w:r>
      <w:r w:rsidRPr="00FD48F4">
        <w:rPr>
          <w:rFonts w:asciiTheme="majorHAnsi" w:hAnsiTheme="majorHAnsi"/>
          <w:sz w:val="32"/>
          <w:szCs w:val="32"/>
        </w:rPr>
        <w:t xml:space="preserve"> </w:t>
      </w:r>
      <w:r w:rsidR="00A8142D">
        <w:rPr>
          <w:rFonts w:asciiTheme="majorHAnsi" w:hAnsiTheme="majorHAnsi"/>
          <w:sz w:val="32"/>
          <w:szCs w:val="32"/>
        </w:rPr>
        <w:t xml:space="preserve">mechanismu </w:t>
      </w:r>
      <w:r w:rsidR="00777AA3">
        <w:rPr>
          <w:rFonts w:asciiTheme="majorHAnsi" w:hAnsiTheme="majorHAnsi"/>
          <w:sz w:val="32"/>
          <w:szCs w:val="32"/>
        </w:rPr>
        <w:t>kontroly přiměřenosti</w:t>
      </w:r>
      <w:r w:rsidR="00A8142D" w:rsidRPr="00FD48F4">
        <w:rPr>
          <w:rFonts w:asciiTheme="majorHAnsi" w:hAnsiTheme="majorHAnsi"/>
          <w:sz w:val="32"/>
          <w:szCs w:val="32"/>
        </w:rPr>
        <w:t xml:space="preserve"> </w:t>
      </w:r>
      <w:r w:rsidRPr="00FD48F4">
        <w:rPr>
          <w:rFonts w:asciiTheme="majorHAnsi" w:hAnsiTheme="majorHAnsi"/>
          <w:sz w:val="32"/>
          <w:szCs w:val="32"/>
        </w:rPr>
        <w:t>podpory pro ČR s ostatními členskými státy EU</w:t>
      </w:r>
      <w:bookmarkEnd w:id="4"/>
    </w:p>
    <w:p w14:paraId="4EEAFB85" w14:textId="488D63EE" w:rsidR="004C561B" w:rsidRPr="00367473" w:rsidRDefault="004C561B" w:rsidP="004713EF">
      <w:pPr>
        <w:spacing w:before="100" w:beforeAutospacing="1" w:after="100" w:afterAutospacing="1" w:line="276" w:lineRule="auto"/>
        <w:jc w:val="both"/>
        <w:rPr>
          <w:sz w:val="24"/>
          <w:szCs w:val="24"/>
        </w:rPr>
      </w:pPr>
      <w:r w:rsidRPr="00367473">
        <w:rPr>
          <w:sz w:val="24"/>
          <w:szCs w:val="24"/>
        </w:rPr>
        <w:t xml:space="preserve">Veškeré </w:t>
      </w:r>
      <w:r w:rsidR="007E74C9">
        <w:rPr>
          <w:sz w:val="24"/>
          <w:szCs w:val="24"/>
        </w:rPr>
        <w:t xml:space="preserve">pravomoci </w:t>
      </w:r>
      <w:r w:rsidRPr="00367473">
        <w:rPr>
          <w:sz w:val="24"/>
          <w:szCs w:val="24"/>
        </w:rPr>
        <w:t xml:space="preserve">Evropské komise </w:t>
      </w:r>
      <w:r w:rsidR="00427B62">
        <w:rPr>
          <w:sz w:val="24"/>
          <w:szCs w:val="24"/>
        </w:rPr>
        <w:t>vůči</w:t>
      </w:r>
      <w:r w:rsidR="007E74C9">
        <w:rPr>
          <w:sz w:val="24"/>
          <w:szCs w:val="24"/>
        </w:rPr>
        <w:t xml:space="preserve"> opatřením veřejné podpory v členských státech </w:t>
      </w:r>
      <w:r w:rsidR="009E5CB6">
        <w:rPr>
          <w:sz w:val="24"/>
          <w:szCs w:val="24"/>
        </w:rPr>
        <w:t>jsou zakotveny primárně ve</w:t>
      </w:r>
      <w:r w:rsidRPr="00367473">
        <w:rPr>
          <w:sz w:val="24"/>
          <w:szCs w:val="24"/>
        </w:rPr>
        <w:t xml:space="preserve"> </w:t>
      </w:r>
      <w:r w:rsidR="009E5CB6">
        <w:rPr>
          <w:sz w:val="24"/>
          <w:szCs w:val="24"/>
        </w:rPr>
        <w:t>Smlouvě</w:t>
      </w:r>
      <w:r w:rsidRPr="00367473">
        <w:rPr>
          <w:sz w:val="24"/>
          <w:szCs w:val="24"/>
        </w:rPr>
        <w:t xml:space="preserve"> o fungování Evropské unie (SFEU)</w:t>
      </w:r>
      <w:r w:rsidR="009E5CB6">
        <w:rPr>
          <w:sz w:val="24"/>
          <w:szCs w:val="24"/>
        </w:rPr>
        <w:t xml:space="preserve"> a</w:t>
      </w:r>
      <w:r w:rsidRPr="00367473">
        <w:rPr>
          <w:sz w:val="24"/>
          <w:szCs w:val="24"/>
        </w:rPr>
        <w:t xml:space="preserve"> na ní navazující</w:t>
      </w:r>
      <w:r w:rsidR="009E5CB6">
        <w:rPr>
          <w:sz w:val="24"/>
          <w:szCs w:val="24"/>
        </w:rPr>
        <w:t>m</w:t>
      </w:r>
      <w:r w:rsidRPr="00367473">
        <w:rPr>
          <w:sz w:val="24"/>
          <w:szCs w:val="24"/>
        </w:rPr>
        <w:t xml:space="preserve"> Nařízení Rady (EU) 2015/1589, kterým se stanoví prováděcí pravidla k článku 108 SFEU</w:t>
      </w:r>
      <w:r w:rsidR="009E5CB6">
        <w:rPr>
          <w:sz w:val="24"/>
          <w:szCs w:val="24"/>
        </w:rPr>
        <w:t>.</w:t>
      </w:r>
      <w:r w:rsidRPr="00367473">
        <w:rPr>
          <w:sz w:val="24"/>
          <w:szCs w:val="24"/>
        </w:rPr>
        <w:t xml:space="preserve"> </w:t>
      </w:r>
      <w:r w:rsidR="009E5CB6">
        <w:rPr>
          <w:sz w:val="24"/>
          <w:szCs w:val="24"/>
        </w:rPr>
        <w:t>Podmínky pro slučitelnost opatření veřejné podpory zaměřených na ochranu životního prostředí</w:t>
      </w:r>
      <w:r w:rsidR="0001009E">
        <w:rPr>
          <w:sz w:val="24"/>
          <w:szCs w:val="24"/>
        </w:rPr>
        <w:t xml:space="preserve"> s vnitřním trhem EU pak obsahují </w:t>
      </w:r>
      <w:r w:rsidR="00767DDD">
        <w:rPr>
          <w:sz w:val="24"/>
          <w:szCs w:val="24"/>
        </w:rPr>
        <w:t>(</w:t>
      </w:r>
      <w:r w:rsidR="0001009E">
        <w:rPr>
          <w:sz w:val="24"/>
          <w:szCs w:val="24"/>
        </w:rPr>
        <w:t xml:space="preserve">v závislosti na období své </w:t>
      </w:r>
      <w:r w:rsidR="00767DDD">
        <w:rPr>
          <w:sz w:val="24"/>
          <w:szCs w:val="24"/>
        </w:rPr>
        <w:t>účinnosti)</w:t>
      </w:r>
      <w:r w:rsidR="0001009E">
        <w:rPr>
          <w:sz w:val="24"/>
          <w:szCs w:val="24"/>
        </w:rPr>
        <w:t xml:space="preserve"> různá Sdělení Komise - </w:t>
      </w:r>
      <w:r w:rsidRPr="00367473">
        <w:rPr>
          <w:sz w:val="24"/>
          <w:szCs w:val="24"/>
        </w:rPr>
        <w:t>Pokyny pro státní podporu ochrany životního prostředí</w:t>
      </w:r>
      <w:r w:rsidR="00DA3320">
        <w:rPr>
          <w:sz w:val="24"/>
          <w:szCs w:val="24"/>
        </w:rPr>
        <w:t xml:space="preserve"> a energetiky</w:t>
      </w:r>
      <w:r w:rsidRPr="00367473">
        <w:rPr>
          <w:sz w:val="24"/>
          <w:szCs w:val="24"/>
        </w:rPr>
        <w:t xml:space="preserve">. V předmětné věci </w:t>
      </w:r>
      <w:r w:rsidR="00427B62">
        <w:rPr>
          <w:sz w:val="24"/>
          <w:szCs w:val="24"/>
        </w:rPr>
        <w:t>přezkumu</w:t>
      </w:r>
      <w:r w:rsidRPr="00367473">
        <w:rPr>
          <w:sz w:val="24"/>
          <w:szCs w:val="24"/>
        </w:rPr>
        <w:t xml:space="preserve"> </w:t>
      </w:r>
      <w:r w:rsidR="00427B62">
        <w:rPr>
          <w:sz w:val="24"/>
          <w:szCs w:val="24"/>
        </w:rPr>
        <w:t>veřejné</w:t>
      </w:r>
      <w:r w:rsidR="00427B62" w:rsidRPr="00367473">
        <w:rPr>
          <w:sz w:val="24"/>
          <w:szCs w:val="24"/>
        </w:rPr>
        <w:t xml:space="preserve"> </w:t>
      </w:r>
      <w:r w:rsidRPr="00367473">
        <w:rPr>
          <w:sz w:val="24"/>
          <w:szCs w:val="24"/>
        </w:rPr>
        <w:t>podpo</w:t>
      </w:r>
      <w:r w:rsidR="00427B62">
        <w:rPr>
          <w:sz w:val="24"/>
          <w:szCs w:val="24"/>
        </w:rPr>
        <w:t>ře</w:t>
      </w:r>
      <w:r w:rsidRPr="00367473">
        <w:rPr>
          <w:sz w:val="24"/>
          <w:szCs w:val="24"/>
        </w:rPr>
        <w:t xml:space="preserve"> pro výrobny uvedené do provozu v letech 2006 – 2012 jde zejména o Pokyny pro státní podporu ochrany životního prostředí 2008/C 82/01 (dále jen „Pokyny“) účinné v období, v němž </w:t>
      </w:r>
      <w:r w:rsidR="0001009E">
        <w:rPr>
          <w:sz w:val="24"/>
          <w:szCs w:val="24"/>
        </w:rPr>
        <w:t>vznikl nárok na podporu</w:t>
      </w:r>
      <w:r w:rsidRPr="00367473">
        <w:rPr>
          <w:sz w:val="24"/>
          <w:szCs w:val="24"/>
        </w:rPr>
        <w:t xml:space="preserve"> nejvíce výrobn</w:t>
      </w:r>
      <w:r w:rsidR="0001009E">
        <w:rPr>
          <w:sz w:val="24"/>
          <w:szCs w:val="24"/>
        </w:rPr>
        <w:t>ám</w:t>
      </w:r>
      <w:r w:rsidRPr="00367473">
        <w:rPr>
          <w:sz w:val="24"/>
          <w:szCs w:val="24"/>
        </w:rPr>
        <w:t xml:space="preserve"> elektřiny. </w:t>
      </w:r>
    </w:p>
    <w:p w14:paraId="229B8AC7" w14:textId="49FF7ACA" w:rsidR="004C561B" w:rsidRPr="00367473" w:rsidRDefault="004C561B" w:rsidP="004713EF">
      <w:pPr>
        <w:spacing w:before="100" w:beforeAutospacing="1" w:after="100" w:afterAutospacing="1" w:line="276" w:lineRule="auto"/>
        <w:jc w:val="both"/>
        <w:rPr>
          <w:sz w:val="24"/>
          <w:szCs w:val="24"/>
        </w:rPr>
      </w:pPr>
      <w:r w:rsidRPr="00367473">
        <w:rPr>
          <w:sz w:val="24"/>
          <w:szCs w:val="24"/>
        </w:rPr>
        <w:t>Pokyny po členských státech především vyžadují</w:t>
      </w:r>
      <w:r w:rsidR="00961726">
        <w:rPr>
          <w:sz w:val="24"/>
          <w:szCs w:val="24"/>
        </w:rPr>
        <w:t>, aby podpora byla vhodně konstruována ve světle vyvážení jejích pozitivních a negativních účinků, včetně zajištění její přiměřené výše,</w:t>
      </w:r>
      <w:r w:rsidRPr="00367473">
        <w:rPr>
          <w:sz w:val="24"/>
          <w:szCs w:val="24"/>
        </w:rPr>
        <w:t xml:space="preserve"> </w:t>
      </w:r>
      <w:r w:rsidR="00961726">
        <w:rPr>
          <w:sz w:val="24"/>
          <w:szCs w:val="24"/>
        </w:rPr>
        <w:t xml:space="preserve">a dále mj. </w:t>
      </w:r>
      <w:r w:rsidR="00961726" w:rsidRPr="00367473">
        <w:rPr>
          <w:sz w:val="24"/>
          <w:szCs w:val="24"/>
        </w:rPr>
        <w:t>zaji</w:t>
      </w:r>
      <w:r w:rsidR="00961726">
        <w:rPr>
          <w:sz w:val="24"/>
          <w:szCs w:val="24"/>
        </w:rPr>
        <w:t>štění</w:t>
      </w:r>
      <w:r w:rsidR="00961726" w:rsidRPr="00367473">
        <w:rPr>
          <w:sz w:val="24"/>
          <w:szCs w:val="24"/>
        </w:rPr>
        <w:t xml:space="preserve"> </w:t>
      </w:r>
      <w:r w:rsidRPr="00367473">
        <w:rPr>
          <w:sz w:val="24"/>
          <w:szCs w:val="24"/>
        </w:rPr>
        <w:t xml:space="preserve">vedení podrobné evidence o poskytování podpory na všechna opatření v oblasti ochrany životního prostředí. Tyto záznamy, </w:t>
      </w:r>
      <w:r w:rsidR="00C67F73" w:rsidRPr="00367473">
        <w:rPr>
          <w:sz w:val="24"/>
          <w:szCs w:val="24"/>
        </w:rPr>
        <w:t>obsah</w:t>
      </w:r>
      <w:r w:rsidR="00C67F73">
        <w:rPr>
          <w:sz w:val="24"/>
          <w:szCs w:val="24"/>
        </w:rPr>
        <w:t>ující</w:t>
      </w:r>
      <w:r w:rsidR="00C67F73" w:rsidRPr="00367473">
        <w:rPr>
          <w:sz w:val="24"/>
          <w:szCs w:val="24"/>
        </w:rPr>
        <w:t xml:space="preserve"> </w:t>
      </w:r>
      <w:r w:rsidRPr="00367473">
        <w:rPr>
          <w:sz w:val="24"/>
          <w:szCs w:val="24"/>
        </w:rPr>
        <w:t>veškeré potřebné informace dokazující, že byla dodržena výše způsobilých nákladů a maximální přípustná intenzita podpory, musí být uchovávány po dobu 10 let ode dne poskytnutí podpory a musí být na vyžádání poskytnuty Komisi (bod 198 Pokynů).</w:t>
      </w:r>
    </w:p>
    <w:p w14:paraId="4427B7F4" w14:textId="1AAF6427" w:rsidR="004C561B" w:rsidRPr="00367473" w:rsidRDefault="004C561B" w:rsidP="004713EF">
      <w:pPr>
        <w:spacing w:before="100" w:beforeAutospacing="1" w:after="100" w:afterAutospacing="1" w:line="276" w:lineRule="auto"/>
        <w:jc w:val="both"/>
        <w:rPr>
          <w:sz w:val="24"/>
          <w:szCs w:val="24"/>
        </w:rPr>
      </w:pPr>
      <w:r w:rsidRPr="00367473">
        <w:rPr>
          <w:sz w:val="24"/>
          <w:szCs w:val="24"/>
        </w:rPr>
        <w:t xml:space="preserve">Z uvedeného je patrné, že </w:t>
      </w:r>
      <w:r w:rsidR="00427B62">
        <w:rPr>
          <w:sz w:val="24"/>
          <w:szCs w:val="24"/>
        </w:rPr>
        <w:t>Pokyny</w:t>
      </w:r>
      <w:r w:rsidRPr="00367473">
        <w:rPr>
          <w:sz w:val="24"/>
          <w:szCs w:val="24"/>
        </w:rPr>
        <w:t xml:space="preserve"> </w:t>
      </w:r>
      <w:r w:rsidR="00427B62" w:rsidRPr="00367473">
        <w:rPr>
          <w:sz w:val="24"/>
          <w:szCs w:val="24"/>
        </w:rPr>
        <w:t>počít</w:t>
      </w:r>
      <w:r w:rsidR="00427B62">
        <w:rPr>
          <w:sz w:val="24"/>
          <w:szCs w:val="24"/>
        </w:rPr>
        <w:t>ají</w:t>
      </w:r>
      <w:r w:rsidR="00427B62" w:rsidRPr="00367473">
        <w:rPr>
          <w:sz w:val="24"/>
          <w:szCs w:val="24"/>
        </w:rPr>
        <w:t xml:space="preserve"> </w:t>
      </w:r>
      <w:r w:rsidRPr="00367473">
        <w:rPr>
          <w:sz w:val="24"/>
          <w:szCs w:val="24"/>
        </w:rPr>
        <w:t xml:space="preserve">především s </w:t>
      </w:r>
      <w:r w:rsidRPr="00367473">
        <w:rPr>
          <w:b/>
          <w:sz w:val="24"/>
          <w:szCs w:val="24"/>
        </w:rPr>
        <w:t>průběžnou kontrolu systému podpory a jeho případnou úpravou tak, aby byla zajištěna přiměřená výše podpory.</w:t>
      </w:r>
      <w:r w:rsidRPr="00367473">
        <w:rPr>
          <w:sz w:val="24"/>
          <w:szCs w:val="24"/>
        </w:rPr>
        <w:t xml:space="preserve"> Ve většině případů se jedná o kontrolu úrovně výrobních nákladů a úpravu výše podpory, jak je řešeno </w:t>
      </w:r>
      <w:r w:rsidR="00C67F73">
        <w:rPr>
          <w:sz w:val="24"/>
          <w:szCs w:val="24"/>
        </w:rPr>
        <w:t xml:space="preserve">v </w:t>
      </w:r>
      <w:r w:rsidRPr="00367473">
        <w:rPr>
          <w:sz w:val="24"/>
          <w:szCs w:val="24"/>
        </w:rPr>
        <w:t>každoroční</w:t>
      </w:r>
      <w:r w:rsidR="00C67F73">
        <w:rPr>
          <w:sz w:val="24"/>
          <w:szCs w:val="24"/>
        </w:rPr>
        <w:t>m</w:t>
      </w:r>
      <w:r w:rsidRPr="00367473">
        <w:rPr>
          <w:sz w:val="24"/>
          <w:szCs w:val="24"/>
        </w:rPr>
        <w:t xml:space="preserve"> stanovení výše podpory v rámci cenových rozhodnutí ERÚ na základě vyhodnocování technicko-ekonomických parametrů. </w:t>
      </w:r>
    </w:p>
    <w:p w14:paraId="30380FEF" w14:textId="4B865AEA" w:rsidR="004C561B" w:rsidRPr="00367473" w:rsidRDefault="00C13999" w:rsidP="004713EF">
      <w:pPr>
        <w:spacing w:before="100" w:beforeAutospacing="1" w:after="100" w:afterAutospacing="1" w:line="276" w:lineRule="auto"/>
        <w:jc w:val="both"/>
        <w:rPr>
          <w:sz w:val="24"/>
          <w:szCs w:val="24"/>
        </w:rPr>
      </w:pPr>
      <w:r>
        <w:rPr>
          <w:sz w:val="24"/>
          <w:szCs w:val="24"/>
        </w:rPr>
        <w:t>Pokyny</w:t>
      </w:r>
      <w:r w:rsidR="004C561B" w:rsidRPr="00367473">
        <w:rPr>
          <w:sz w:val="24"/>
          <w:szCs w:val="24"/>
        </w:rPr>
        <w:t xml:space="preserve"> naopak </w:t>
      </w:r>
      <w:r w:rsidRPr="00367473">
        <w:rPr>
          <w:sz w:val="24"/>
          <w:szCs w:val="24"/>
        </w:rPr>
        <w:t>neobsahuj</w:t>
      </w:r>
      <w:r>
        <w:rPr>
          <w:sz w:val="24"/>
          <w:szCs w:val="24"/>
        </w:rPr>
        <w:t>í</w:t>
      </w:r>
      <w:r w:rsidRPr="00367473">
        <w:rPr>
          <w:sz w:val="24"/>
          <w:szCs w:val="24"/>
        </w:rPr>
        <w:t xml:space="preserve"> </w:t>
      </w:r>
      <w:r w:rsidR="004C561B" w:rsidRPr="00367473">
        <w:rPr>
          <w:sz w:val="24"/>
          <w:szCs w:val="24"/>
        </w:rPr>
        <w:t xml:space="preserve">vodítka, jak má být nastaven mechanismus </w:t>
      </w:r>
      <w:r w:rsidR="00777AA3">
        <w:rPr>
          <w:sz w:val="24"/>
          <w:szCs w:val="24"/>
        </w:rPr>
        <w:t xml:space="preserve">kontroly </w:t>
      </w:r>
      <w:r w:rsidR="004C561B" w:rsidRPr="00367473">
        <w:rPr>
          <w:sz w:val="24"/>
          <w:szCs w:val="24"/>
        </w:rPr>
        <w:t>přiměřenosti podpory</w:t>
      </w:r>
      <w:r w:rsidR="00D449E2">
        <w:rPr>
          <w:sz w:val="24"/>
          <w:szCs w:val="24"/>
        </w:rPr>
        <w:t>, k jejímuž poskytnutí (vzniku právního nároku) již došlo</w:t>
      </w:r>
      <w:r>
        <w:rPr>
          <w:sz w:val="24"/>
          <w:szCs w:val="24"/>
        </w:rPr>
        <w:t>. Konkrétní parametry mechanism</w:t>
      </w:r>
      <w:r w:rsidR="00D449E2">
        <w:rPr>
          <w:sz w:val="24"/>
          <w:szCs w:val="24"/>
        </w:rPr>
        <w:t>ů</w:t>
      </w:r>
      <w:r>
        <w:rPr>
          <w:sz w:val="24"/>
          <w:szCs w:val="24"/>
        </w:rPr>
        <w:t xml:space="preserve"> kontrol</w:t>
      </w:r>
      <w:r w:rsidR="00D449E2">
        <w:rPr>
          <w:sz w:val="24"/>
          <w:szCs w:val="24"/>
        </w:rPr>
        <w:t xml:space="preserve"> případné překompenzace podpor tak mohou být</w:t>
      </w:r>
      <w:r>
        <w:rPr>
          <w:sz w:val="24"/>
          <w:szCs w:val="24"/>
        </w:rPr>
        <w:t xml:space="preserve"> předeps</w:t>
      </w:r>
      <w:r w:rsidR="00D449E2">
        <w:rPr>
          <w:sz w:val="24"/>
          <w:szCs w:val="24"/>
        </w:rPr>
        <w:t>án</w:t>
      </w:r>
      <w:r>
        <w:rPr>
          <w:sz w:val="24"/>
          <w:szCs w:val="24"/>
        </w:rPr>
        <w:t>y pouze rozhodnutími Evropské komise k</w:t>
      </w:r>
      <w:r w:rsidR="00D449E2">
        <w:rPr>
          <w:sz w:val="24"/>
          <w:szCs w:val="24"/>
        </w:rPr>
        <w:t>e konkrétním</w:t>
      </w:r>
      <w:r>
        <w:rPr>
          <w:sz w:val="24"/>
          <w:szCs w:val="24"/>
        </w:rPr>
        <w:t xml:space="preserve"> opatřením veřejné podpory</w:t>
      </w:r>
      <w:r w:rsidR="00D449E2">
        <w:rPr>
          <w:sz w:val="24"/>
          <w:szCs w:val="24"/>
        </w:rPr>
        <w:t xml:space="preserve"> v jednotlivých členských státech</w:t>
      </w:r>
      <w:r>
        <w:rPr>
          <w:sz w:val="24"/>
          <w:szCs w:val="24"/>
        </w:rPr>
        <w:t>.</w:t>
      </w:r>
      <w:r w:rsidR="004C561B" w:rsidRPr="00367473">
        <w:rPr>
          <w:sz w:val="24"/>
          <w:szCs w:val="24"/>
        </w:rPr>
        <w:t xml:space="preserve"> </w:t>
      </w:r>
    </w:p>
    <w:p w14:paraId="1E42FB21" w14:textId="33ECDDFF" w:rsidR="004C561B" w:rsidRPr="00FD48F4" w:rsidRDefault="004C561B" w:rsidP="004713EF">
      <w:pPr>
        <w:widowControl w:val="0"/>
        <w:overflowPunct/>
        <w:spacing w:before="100" w:beforeAutospacing="1" w:after="100" w:afterAutospacing="1" w:line="276" w:lineRule="auto"/>
        <w:jc w:val="both"/>
        <w:textAlignment w:val="auto"/>
        <w:rPr>
          <w:b/>
          <w:i/>
          <w:sz w:val="24"/>
          <w:szCs w:val="24"/>
          <w:u w:val="single"/>
        </w:rPr>
      </w:pPr>
      <w:r w:rsidRPr="00FD48F4">
        <w:rPr>
          <w:sz w:val="24"/>
          <w:szCs w:val="24"/>
        </w:rPr>
        <w:t xml:space="preserve">Z </w:t>
      </w:r>
      <w:r w:rsidR="008474FA" w:rsidRPr="00FD48F4">
        <w:rPr>
          <w:sz w:val="24"/>
          <w:szCs w:val="24"/>
        </w:rPr>
        <w:t xml:space="preserve">porovnání </w:t>
      </w:r>
      <w:r w:rsidR="001D0305">
        <w:rPr>
          <w:sz w:val="24"/>
          <w:szCs w:val="24"/>
        </w:rPr>
        <w:t xml:space="preserve">analyzovaných </w:t>
      </w:r>
      <w:r w:rsidR="008474FA" w:rsidRPr="00FD48F4">
        <w:rPr>
          <w:sz w:val="24"/>
          <w:szCs w:val="24"/>
        </w:rPr>
        <w:t xml:space="preserve">rozhodnutí </w:t>
      </w:r>
      <w:r w:rsidR="00BD4871">
        <w:rPr>
          <w:sz w:val="24"/>
          <w:szCs w:val="24"/>
        </w:rPr>
        <w:t xml:space="preserve">Evropské komise </w:t>
      </w:r>
      <w:r w:rsidR="008474FA" w:rsidRPr="00FD48F4">
        <w:rPr>
          <w:sz w:val="24"/>
          <w:szCs w:val="24"/>
        </w:rPr>
        <w:t>v jednotlivých členských státech</w:t>
      </w:r>
      <w:r w:rsidR="00624A92" w:rsidRPr="00FD48F4">
        <w:rPr>
          <w:sz w:val="24"/>
          <w:szCs w:val="24"/>
        </w:rPr>
        <w:t xml:space="preserve">, </w:t>
      </w:r>
      <w:r w:rsidR="00624A92" w:rsidRPr="00FD48F4">
        <w:rPr>
          <w:sz w:val="24"/>
          <w:szCs w:val="24"/>
        </w:rPr>
        <w:lastRenderedPageBreak/>
        <w:t>které je přílohou č. 1 tohoto materiálu,</w:t>
      </w:r>
      <w:r w:rsidR="008474FA" w:rsidRPr="00FD48F4">
        <w:rPr>
          <w:sz w:val="24"/>
          <w:szCs w:val="24"/>
        </w:rPr>
        <w:t xml:space="preserve"> </w:t>
      </w:r>
      <w:r w:rsidRPr="00FD48F4">
        <w:rPr>
          <w:sz w:val="24"/>
          <w:szCs w:val="24"/>
        </w:rPr>
        <w:t>vyplývá:</w:t>
      </w:r>
    </w:p>
    <w:p w14:paraId="0AA8E9F9" w14:textId="210D3D3B" w:rsidR="006E2F0E" w:rsidRDefault="00645FE7" w:rsidP="000B4301">
      <w:pPr>
        <w:pStyle w:val="Odstavecseseznamem"/>
        <w:widowControl w:val="0"/>
        <w:numPr>
          <w:ilvl w:val="1"/>
          <w:numId w:val="4"/>
        </w:numPr>
        <w:overflowPunct/>
        <w:spacing w:before="100" w:beforeAutospacing="1" w:after="100" w:afterAutospacing="1" w:line="240" w:lineRule="auto"/>
        <w:ind w:left="567" w:hanging="567"/>
        <w:jc w:val="both"/>
        <w:textAlignment w:val="auto"/>
        <w:rPr>
          <w:sz w:val="24"/>
          <w:szCs w:val="24"/>
        </w:rPr>
      </w:pPr>
      <w:r w:rsidRPr="006E2F0E">
        <w:rPr>
          <w:sz w:val="24"/>
          <w:szCs w:val="24"/>
        </w:rPr>
        <w:t xml:space="preserve">Ve většině analyzovaných rozhodnutích </w:t>
      </w:r>
      <w:r w:rsidR="00BD4871">
        <w:rPr>
          <w:sz w:val="24"/>
          <w:szCs w:val="24"/>
        </w:rPr>
        <w:t xml:space="preserve">Evropské komise </w:t>
      </w:r>
      <w:r w:rsidRPr="006E2F0E">
        <w:rPr>
          <w:sz w:val="24"/>
          <w:szCs w:val="24"/>
        </w:rPr>
        <w:t xml:space="preserve">jsou </w:t>
      </w:r>
      <w:r w:rsidRPr="008B0AC7">
        <w:rPr>
          <w:b/>
          <w:sz w:val="24"/>
          <w:szCs w:val="24"/>
        </w:rPr>
        <w:t>zavedeny požadavky na</w:t>
      </w:r>
      <w:r w:rsidRPr="006E2F0E">
        <w:rPr>
          <w:sz w:val="24"/>
          <w:szCs w:val="24"/>
        </w:rPr>
        <w:t xml:space="preserve"> </w:t>
      </w:r>
      <w:r w:rsidRPr="006E2F0E">
        <w:rPr>
          <w:b/>
          <w:sz w:val="24"/>
          <w:szCs w:val="24"/>
        </w:rPr>
        <w:t>monitoring</w:t>
      </w:r>
      <w:r w:rsidRPr="006E2F0E">
        <w:rPr>
          <w:sz w:val="24"/>
          <w:szCs w:val="24"/>
        </w:rPr>
        <w:t xml:space="preserve"> podpory</w:t>
      </w:r>
      <w:r w:rsidR="006E2F0E">
        <w:rPr>
          <w:sz w:val="24"/>
          <w:szCs w:val="24"/>
        </w:rPr>
        <w:t xml:space="preserve"> z důvodu </w:t>
      </w:r>
      <w:r w:rsidR="001D0305">
        <w:rPr>
          <w:sz w:val="24"/>
          <w:szCs w:val="24"/>
        </w:rPr>
        <w:t xml:space="preserve">kontroly </w:t>
      </w:r>
      <w:r w:rsidR="006E2F0E">
        <w:rPr>
          <w:sz w:val="24"/>
          <w:szCs w:val="24"/>
        </w:rPr>
        <w:t>její nepřekompenzace</w:t>
      </w:r>
    </w:p>
    <w:p w14:paraId="51F8EFED" w14:textId="13F2CB41" w:rsidR="00645FE7" w:rsidRDefault="00645FE7" w:rsidP="000B4301">
      <w:pPr>
        <w:widowControl w:val="0"/>
        <w:numPr>
          <w:ilvl w:val="1"/>
          <w:numId w:val="4"/>
        </w:numPr>
        <w:overflowPunct/>
        <w:spacing w:before="100" w:beforeAutospacing="1" w:after="100" w:afterAutospacing="1" w:line="240" w:lineRule="auto"/>
        <w:ind w:left="567" w:hanging="567"/>
        <w:jc w:val="both"/>
        <w:textAlignment w:val="auto"/>
        <w:rPr>
          <w:sz w:val="24"/>
          <w:szCs w:val="24"/>
        </w:rPr>
      </w:pPr>
      <w:r>
        <w:rPr>
          <w:sz w:val="24"/>
          <w:szCs w:val="24"/>
        </w:rPr>
        <w:t xml:space="preserve">Ve většině </w:t>
      </w:r>
      <w:r w:rsidR="006E2F0E">
        <w:rPr>
          <w:sz w:val="24"/>
          <w:szCs w:val="24"/>
        </w:rPr>
        <w:t xml:space="preserve"> </w:t>
      </w:r>
      <w:r>
        <w:rPr>
          <w:sz w:val="24"/>
          <w:szCs w:val="24"/>
        </w:rPr>
        <w:t xml:space="preserve">analyzovaných </w:t>
      </w:r>
      <w:r w:rsidRPr="008B0AC7">
        <w:rPr>
          <w:b/>
          <w:sz w:val="24"/>
          <w:szCs w:val="24"/>
        </w:rPr>
        <w:t xml:space="preserve">rozhodnutích </w:t>
      </w:r>
      <w:r w:rsidR="00BD4871">
        <w:rPr>
          <w:b/>
          <w:sz w:val="24"/>
          <w:szCs w:val="24"/>
        </w:rPr>
        <w:t xml:space="preserve">Evropské komise </w:t>
      </w:r>
      <w:r w:rsidR="0037390C" w:rsidRPr="008B0AC7">
        <w:rPr>
          <w:b/>
          <w:sz w:val="24"/>
          <w:szCs w:val="24"/>
        </w:rPr>
        <w:t xml:space="preserve">byla </w:t>
      </w:r>
      <w:r w:rsidRPr="008B0AC7">
        <w:rPr>
          <w:b/>
          <w:sz w:val="24"/>
          <w:szCs w:val="24"/>
        </w:rPr>
        <w:t xml:space="preserve">identifikována </w:t>
      </w:r>
      <w:r w:rsidR="006E2F0E" w:rsidRPr="008B0AC7">
        <w:rPr>
          <w:b/>
          <w:sz w:val="24"/>
          <w:szCs w:val="24"/>
        </w:rPr>
        <w:t>možnost</w:t>
      </w:r>
      <w:r w:rsidR="006E2F0E">
        <w:rPr>
          <w:sz w:val="24"/>
          <w:szCs w:val="24"/>
        </w:rPr>
        <w:t xml:space="preserve"> </w:t>
      </w:r>
      <w:r w:rsidRPr="006E2F0E">
        <w:rPr>
          <w:b/>
          <w:sz w:val="24"/>
          <w:szCs w:val="24"/>
        </w:rPr>
        <w:t>kumulace několika podpor</w:t>
      </w:r>
      <w:r w:rsidR="0037390C">
        <w:rPr>
          <w:sz w:val="24"/>
          <w:szCs w:val="24"/>
        </w:rPr>
        <w:t xml:space="preserve">. </w:t>
      </w:r>
    </w:p>
    <w:p w14:paraId="225717C1" w14:textId="6A9FB399" w:rsidR="0037390C" w:rsidRPr="006E2F0E" w:rsidRDefault="006E2F0E" w:rsidP="000B4301">
      <w:pPr>
        <w:pStyle w:val="Odstavecseseznamem"/>
        <w:widowControl w:val="0"/>
        <w:numPr>
          <w:ilvl w:val="0"/>
          <w:numId w:val="18"/>
        </w:numPr>
        <w:overflowPunct/>
        <w:spacing w:before="100" w:beforeAutospacing="1" w:after="100" w:afterAutospacing="1" w:line="276" w:lineRule="auto"/>
        <w:ind w:left="993" w:hanging="426"/>
        <w:jc w:val="both"/>
        <w:textAlignment w:val="auto"/>
        <w:rPr>
          <w:sz w:val="24"/>
          <w:szCs w:val="24"/>
        </w:rPr>
      </w:pPr>
      <w:r w:rsidRPr="006E2F0E">
        <w:rPr>
          <w:sz w:val="24"/>
          <w:szCs w:val="24"/>
          <w:u w:val="single"/>
        </w:rPr>
        <w:t>Rumunsko</w:t>
      </w:r>
      <w:r w:rsidRPr="006E2F0E">
        <w:rPr>
          <w:sz w:val="24"/>
          <w:szCs w:val="24"/>
        </w:rPr>
        <w:t xml:space="preserve"> </w:t>
      </w:r>
      <w:r>
        <w:rPr>
          <w:sz w:val="24"/>
          <w:szCs w:val="24"/>
        </w:rPr>
        <w:t xml:space="preserve">- </w:t>
      </w:r>
      <w:r w:rsidR="0037390C" w:rsidRPr="006E2F0E">
        <w:rPr>
          <w:sz w:val="24"/>
          <w:szCs w:val="24"/>
        </w:rPr>
        <w:t>aby se zabránilo překompenzaci, pravidla pro kumulaci podpory musí být brána v úvahu při stanovení výše podpory v průběhu akreditačního procesu</w:t>
      </w:r>
      <w:r>
        <w:rPr>
          <w:sz w:val="24"/>
          <w:szCs w:val="24"/>
        </w:rPr>
        <w:t xml:space="preserve"> a </w:t>
      </w:r>
      <w:r w:rsidR="0037390C" w:rsidRPr="006E2F0E">
        <w:rPr>
          <w:sz w:val="24"/>
          <w:szCs w:val="24"/>
        </w:rPr>
        <w:t>v </w:t>
      </w:r>
      <w:r w:rsidR="001D0305" w:rsidRPr="006E2F0E" w:rsidDel="001D0305">
        <w:rPr>
          <w:sz w:val="24"/>
          <w:szCs w:val="24"/>
        </w:rPr>
        <w:t xml:space="preserve"> </w:t>
      </w:r>
      <w:r w:rsidR="0037390C" w:rsidRPr="006E2F0E">
        <w:rPr>
          <w:sz w:val="24"/>
          <w:szCs w:val="24"/>
        </w:rPr>
        <w:t xml:space="preserve"> systému podpory jsou </w:t>
      </w:r>
      <w:r w:rsidR="00624A92" w:rsidRPr="006E2F0E">
        <w:rPr>
          <w:sz w:val="24"/>
          <w:szCs w:val="24"/>
        </w:rPr>
        <w:t>zajištěn</w:t>
      </w:r>
      <w:r w:rsidR="00624A92">
        <w:rPr>
          <w:sz w:val="24"/>
          <w:szCs w:val="24"/>
        </w:rPr>
        <w:t>a</w:t>
      </w:r>
      <w:r w:rsidR="00624A92" w:rsidRPr="006E2F0E">
        <w:rPr>
          <w:sz w:val="24"/>
          <w:szCs w:val="24"/>
        </w:rPr>
        <w:t xml:space="preserve"> </w:t>
      </w:r>
      <w:r w:rsidR="0037390C" w:rsidRPr="006E2F0E">
        <w:rPr>
          <w:sz w:val="24"/>
          <w:szCs w:val="24"/>
        </w:rPr>
        <w:t xml:space="preserve">pravidla kumulace, </w:t>
      </w:r>
      <w:r w:rsidR="00624A92">
        <w:rPr>
          <w:sz w:val="24"/>
          <w:szCs w:val="24"/>
        </w:rPr>
        <w:t>kdy</w:t>
      </w:r>
      <w:r w:rsidR="00624A92" w:rsidRPr="006E2F0E">
        <w:rPr>
          <w:sz w:val="24"/>
          <w:szCs w:val="24"/>
        </w:rPr>
        <w:t xml:space="preserve"> </w:t>
      </w:r>
      <w:r w:rsidR="0037390C" w:rsidRPr="006E2F0E">
        <w:rPr>
          <w:sz w:val="24"/>
          <w:szCs w:val="24"/>
        </w:rPr>
        <w:t xml:space="preserve">každá dříve poskytnutá investiční podpora se odečítá od provozní podpory. </w:t>
      </w:r>
    </w:p>
    <w:p w14:paraId="02370D53" w14:textId="396667C1" w:rsidR="006E2F0E" w:rsidRDefault="006E2F0E" w:rsidP="000B4301">
      <w:pPr>
        <w:pStyle w:val="Odstavecseseznamem"/>
        <w:widowControl w:val="0"/>
        <w:numPr>
          <w:ilvl w:val="0"/>
          <w:numId w:val="18"/>
        </w:numPr>
        <w:overflowPunct/>
        <w:spacing w:before="100" w:beforeAutospacing="1" w:after="100" w:afterAutospacing="1" w:line="276" w:lineRule="auto"/>
        <w:ind w:left="993" w:hanging="426"/>
        <w:jc w:val="both"/>
        <w:textAlignment w:val="auto"/>
        <w:rPr>
          <w:sz w:val="24"/>
          <w:szCs w:val="24"/>
        </w:rPr>
      </w:pPr>
      <w:r w:rsidRPr="006E2F0E">
        <w:rPr>
          <w:sz w:val="24"/>
          <w:szCs w:val="24"/>
          <w:u w:val="single"/>
        </w:rPr>
        <w:t>Bulharsko</w:t>
      </w:r>
      <w:r>
        <w:rPr>
          <w:sz w:val="24"/>
          <w:szCs w:val="24"/>
        </w:rPr>
        <w:t xml:space="preserve"> - </w:t>
      </w:r>
      <w:r w:rsidR="00645FE7" w:rsidRPr="006E2F0E">
        <w:rPr>
          <w:sz w:val="24"/>
          <w:szCs w:val="24"/>
        </w:rPr>
        <w:t xml:space="preserve">docházelo ke kumulaci provozní podpory a investiční podpory, </w:t>
      </w:r>
      <w:r>
        <w:rPr>
          <w:sz w:val="24"/>
          <w:szCs w:val="24"/>
        </w:rPr>
        <w:t xml:space="preserve">ale </w:t>
      </w:r>
      <w:r w:rsidR="00624A92" w:rsidRPr="006E2F0E">
        <w:rPr>
          <w:sz w:val="24"/>
          <w:szCs w:val="24"/>
        </w:rPr>
        <w:t>byl</w:t>
      </w:r>
      <w:r w:rsidR="00624A92">
        <w:rPr>
          <w:sz w:val="24"/>
          <w:szCs w:val="24"/>
        </w:rPr>
        <w:t>a</w:t>
      </w:r>
      <w:r w:rsidR="00624A92" w:rsidRPr="006E2F0E">
        <w:rPr>
          <w:sz w:val="24"/>
          <w:szCs w:val="24"/>
        </w:rPr>
        <w:t xml:space="preserve"> zaveden</w:t>
      </w:r>
      <w:r w:rsidR="00624A92">
        <w:rPr>
          <w:sz w:val="24"/>
          <w:szCs w:val="24"/>
        </w:rPr>
        <w:t>a</w:t>
      </w:r>
      <w:r w:rsidR="00624A92" w:rsidRPr="006E2F0E">
        <w:rPr>
          <w:sz w:val="24"/>
          <w:szCs w:val="24"/>
        </w:rPr>
        <w:t xml:space="preserve"> </w:t>
      </w:r>
      <w:r w:rsidR="00645FE7" w:rsidRPr="006E2F0E">
        <w:rPr>
          <w:sz w:val="24"/>
          <w:szCs w:val="24"/>
        </w:rPr>
        <w:t>opatření k odčerpání investiční podpory</w:t>
      </w:r>
      <w:r>
        <w:rPr>
          <w:sz w:val="24"/>
          <w:szCs w:val="24"/>
        </w:rPr>
        <w:t>. P</w:t>
      </w:r>
      <w:r w:rsidR="00645FE7">
        <w:rPr>
          <w:sz w:val="24"/>
          <w:szCs w:val="24"/>
        </w:rPr>
        <w:t>rovozní podpora na budoucí období byla Bulharskem snížena, aby bylo vyloučeno riziko překompenzace</w:t>
      </w:r>
      <w:r>
        <w:rPr>
          <w:sz w:val="24"/>
          <w:szCs w:val="24"/>
        </w:rPr>
        <w:t>.</w:t>
      </w:r>
    </w:p>
    <w:p w14:paraId="1506E433" w14:textId="50CF3D10" w:rsidR="0037390C" w:rsidRPr="006E2F0E" w:rsidRDefault="006E2F0E" w:rsidP="000B4301">
      <w:pPr>
        <w:pStyle w:val="Odstavecseseznamem"/>
        <w:widowControl w:val="0"/>
        <w:numPr>
          <w:ilvl w:val="0"/>
          <w:numId w:val="18"/>
        </w:numPr>
        <w:overflowPunct/>
        <w:spacing w:before="100" w:beforeAutospacing="1" w:after="100" w:afterAutospacing="1" w:line="276" w:lineRule="auto"/>
        <w:ind w:left="993" w:hanging="426"/>
        <w:jc w:val="both"/>
        <w:textAlignment w:val="auto"/>
        <w:rPr>
          <w:sz w:val="24"/>
          <w:szCs w:val="24"/>
        </w:rPr>
      </w:pPr>
      <w:r w:rsidRPr="003E3551">
        <w:rPr>
          <w:sz w:val="24"/>
          <w:szCs w:val="24"/>
          <w:u w:val="single"/>
        </w:rPr>
        <w:t>Slovinsko</w:t>
      </w:r>
      <w:r w:rsidRPr="003E3551">
        <w:rPr>
          <w:sz w:val="24"/>
          <w:szCs w:val="24"/>
        </w:rPr>
        <w:t xml:space="preserve"> - docházelo ke kumulaci provozní podpory a investiční podpory, ale </w:t>
      </w:r>
      <w:r w:rsidR="00624A92" w:rsidRPr="003E3551">
        <w:rPr>
          <w:sz w:val="24"/>
          <w:szCs w:val="24"/>
        </w:rPr>
        <w:t>byl</w:t>
      </w:r>
      <w:r w:rsidR="00624A92">
        <w:rPr>
          <w:sz w:val="24"/>
          <w:szCs w:val="24"/>
        </w:rPr>
        <w:t>a</w:t>
      </w:r>
      <w:r w:rsidR="00624A92" w:rsidRPr="003E3551">
        <w:rPr>
          <w:sz w:val="24"/>
          <w:szCs w:val="24"/>
        </w:rPr>
        <w:t xml:space="preserve"> zaveden</w:t>
      </w:r>
      <w:r w:rsidR="00624A92">
        <w:rPr>
          <w:sz w:val="24"/>
          <w:szCs w:val="24"/>
        </w:rPr>
        <w:t>a</w:t>
      </w:r>
      <w:r w:rsidR="00624A92" w:rsidRPr="003E3551">
        <w:rPr>
          <w:sz w:val="24"/>
          <w:szCs w:val="24"/>
        </w:rPr>
        <w:t xml:space="preserve"> </w:t>
      </w:r>
      <w:r w:rsidRPr="003E3551">
        <w:rPr>
          <w:sz w:val="24"/>
          <w:szCs w:val="24"/>
        </w:rPr>
        <w:t xml:space="preserve">opatření k odčerpání investiční podpory. Slovinsko se </w:t>
      </w:r>
      <w:r w:rsidR="00645FE7" w:rsidRPr="003E3551">
        <w:rPr>
          <w:sz w:val="24"/>
          <w:szCs w:val="24"/>
        </w:rPr>
        <w:t>zavázalo</w:t>
      </w:r>
      <w:r w:rsidR="003E3551" w:rsidRPr="003E3551">
        <w:rPr>
          <w:i/>
          <w:sz w:val="24"/>
          <w:szCs w:val="24"/>
        </w:rPr>
        <w:t xml:space="preserve"> </w:t>
      </w:r>
      <w:r w:rsidR="003E3551" w:rsidRPr="003E3551">
        <w:rPr>
          <w:sz w:val="24"/>
          <w:szCs w:val="24"/>
        </w:rPr>
        <w:t>k následujícímu</w:t>
      </w:r>
      <w:r w:rsidR="003E3551" w:rsidRPr="003E3551">
        <w:rPr>
          <w:i/>
          <w:sz w:val="24"/>
          <w:szCs w:val="24"/>
        </w:rPr>
        <w:t xml:space="preserve"> </w:t>
      </w:r>
      <w:r w:rsidR="003E3551">
        <w:rPr>
          <w:i/>
          <w:szCs w:val="22"/>
        </w:rPr>
        <w:t>„</w:t>
      </w:r>
      <w:r w:rsidR="003E3551" w:rsidRPr="002D60DE">
        <w:rPr>
          <w:i/>
          <w:szCs w:val="22"/>
        </w:rPr>
        <w:t>V případě, že zařízení pobírá jinou podporu po poskytnutí podpory v rámci oznámeného opatření, je příjemce povinen informovat energetickou agent</w:t>
      </w:r>
      <w:r w:rsidR="003E3551" w:rsidRPr="003E3551">
        <w:rPr>
          <w:i/>
          <w:szCs w:val="22"/>
        </w:rPr>
        <w:t>uru, která v </w:t>
      </w:r>
      <w:r w:rsidR="003E3551" w:rsidRPr="003E3551">
        <w:rPr>
          <w:i/>
          <w:szCs w:val="22"/>
          <w:u w:val="single"/>
        </w:rPr>
        <w:t>závislosti na jednotlivých případech</w:t>
      </w:r>
      <w:r w:rsidR="003E3551" w:rsidRPr="003E3551">
        <w:rPr>
          <w:i/>
          <w:szCs w:val="22"/>
        </w:rPr>
        <w:t xml:space="preserve"> posoudí přípustnost kumulace a přiměřeně sníží úroveň již schválené/ poskytnuté podpory v rámci oznámeného opatření. Slovinské orgány potvrdily v této souvislosti, že veškeré investiční podpory poskytnuté před nebo následně po posuzované podpoře budou odečteny z podpory, která má být poskytn</w:t>
      </w:r>
      <w:r w:rsidR="003E3551">
        <w:rPr>
          <w:i/>
          <w:szCs w:val="22"/>
        </w:rPr>
        <w:t>uta v rámci oznámeného opatření“</w:t>
      </w:r>
      <w:r w:rsidR="00645FE7" w:rsidRPr="006E2F0E">
        <w:rPr>
          <w:sz w:val="24"/>
          <w:szCs w:val="24"/>
        </w:rPr>
        <w:t xml:space="preserve">. </w:t>
      </w:r>
    </w:p>
    <w:p w14:paraId="446D311A" w14:textId="755093B7" w:rsidR="00645FE7" w:rsidRDefault="006E2F0E" w:rsidP="000B4301">
      <w:pPr>
        <w:pStyle w:val="Odstavecseseznamem"/>
        <w:widowControl w:val="0"/>
        <w:numPr>
          <w:ilvl w:val="0"/>
          <w:numId w:val="18"/>
        </w:numPr>
        <w:overflowPunct/>
        <w:spacing w:before="100" w:beforeAutospacing="1" w:after="100" w:afterAutospacing="1" w:line="276" w:lineRule="auto"/>
        <w:ind w:left="993" w:hanging="426"/>
        <w:jc w:val="both"/>
        <w:textAlignment w:val="auto"/>
        <w:rPr>
          <w:sz w:val="24"/>
          <w:szCs w:val="24"/>
        </w:rPr>
      </w:pPr>
      <w:r w:rsidRPr="006E2F0E">
        <w:rPr>
          <w:sz w:val="24"/>
          <w:szCs w:val="24"/>
          <w:u w:val="single"/>
        </w:rPr>
        <w:t>Estonsko</w:t>
      </w:r>
      <w:r>
        <w:rPr>
          <w:sz w:val="24"/>
          <w:szCs w:val="24"/>
        </w:rPr>
        <w:t xml:space="preserve"> - </w:t>
      </w:r>
      <w:r w:rsidR="00645FE7">
        <w:rPr>
          <w:sz w:val="24"/>
          <w:szCs w:val="24"/>
        </w:rPr>
        <w:t xml:space="preserve">v případě kumulace několika podpor </w:t>
      </w:r>
      <w:r>
        <w:rPr>
          <w:sz w:val="24"/>
          <w:szCs w:val="24"/>
        </w:rPr>
        <w:t>je tato kumulace možná, avšak nemůže být překročena</w:t>
      </w:r>
      <w:r w:rsidR="00645FE7">
        <w:rPr>
          <w:sz w:val="24"/>
          <w:szCs w:val="24"/>
        </w:rPr>
        <w:t xml:space="preserve"> maximální míra podpory </w:t>
      </w:r>
      <w:r>
        <w:rPr>
          <w:sz w:val="24"/>
          <w:szCs w:val="24"/>
        </w:rPr>
        <w:t xml:space="preserve">stanovená </w:t>
      </w:r>
      <w:r w:rsidR="00645FE7">
        <w:rPr>
          <w:sz w:val="24"/>
          <w:szCs w:val="24"/>
        </w:rPr>
        <w:t>v rámci režimu</w:t>
      </w:r>
      <w:r>
        <w:rPr>
          <w:sz w:val="24"/>
          <w:szCs w:val="24"/>
        </w:rPr>
        <w:t>.</w:t>
      </w:r>
    </w:p>
    <w:p w14:paraId="2C01823F" w14:textId="64C59269" w:rsidR="00645FE7" w:rsidRPr="006E2F0E" w:rsidRDefault="006E2F0E" w:rsidP="000B4301">
      <w:pPr>
        <w:pStyle w:val="Odstavecseseznamem"/>
        <w:widowControl w:val="0"/>
        <w:numPr>
          <w:ilvl w:val="0"/>
          <w:numId w:val="18"/>
        </w:numPr>
        <w:overflowPunct/>
        <w:spacing w:before="100" w:beforeAutospacing="1" w:after="100" w:afterAutospacing="1" w:line="276" w:lineRule="auto"/>
        <w:ind w:left="993" w:hanging="426"/>
        <w:jc w:val="both"/>
        <w:textAlignment w:val="auto"/>
        <w:rPr>
          <w:sz w:val="24"/>
          <w:szCs w:val="24"/>
        </w:rPr>
      </w:pPr>
      <w:r w:rsidRPr="006E2F0E">
        <w:rPr>
          <w:sz w:val="24"/>
          <w:szCs w:val="24"/>
          <w:u w:val="single"/>
        </w:rPr>
        <w:t>Finsko</w:t>
      </w:r>
      <w:r>
        <w:rPr>
          <w:sz w:val="24"/>
          <w:szCs w:val="24"/>
        </w:rPr>
        <w:t xml:space="preserve"> - </w:t>
      </w:r>
      <w:r w:rsidR="00645FE7" w:rsidRPr="006E2F0E">
        <w:rPr>
          <w:sz w:val="24"/>
          <w:szCs w:val="24"/>
        </w:rPr>
        <w:t xml:space="preserve">kombinovaný účinek </w:t>
      </w:r>
      <w:r w:rsidRPr="006E2F0E">
        <w:rPr>
          <w:sz w:val="24"/>
          <w:szCs w:val="24"/>
        </w:rPr>
        <w:t xml:space="preserve">provozní </w:t>
      </w:r>
      <w:r w:rsidR="00645FE7" w:rsidRPr="006E2F0E">
        <w:rPr>
          <w:sz w:val="24"/>
          <w:szCs w:val="24"/>
        </w:rPr>
        <w:t>podpor</w:t>
      </w:r>
      <w:r w:rsidRPr="006E2F0E">
        <w:rPr>
          <w:sz w:val="24"/>
          <w:szCs w:val="24"/>
        </w:rPr>
        <w:t>y a investiční podpory</w:t>
      </w:r>
      <w:r w:rsidR="00645FE7" w:rsidRPr="006E2F0E">
        <w:rPr>
          <w:sz w:val="24"/>
          <w:szCs w:val="24"/>
        </w:rPr>
        <w:t xml:space="preserve"> se bude brát v úvahu </w:t>
      </w:r>
      <w:r w:rsidRPr="006E2F0E">
        <w:rPr>
          <w:sz w:val="24"/>
          <w:szCs w:val="24"/>
        </w:rPr>
        <w:t xml:space="preserve">při </w:t>
      </w:r>
      <w:r w:rsidR="00645FE7" w:rsidRPr="006E2F0E">
        <w:rPr>
          <w:sz w:val="24"/>
          <w:szCs w:val="24"/>
        </w:rPr>
        <w:t>nastavení množství investiční podpory poskytnuté elektrárnám dostávající</w:t>
      </w:r>
      <w:r w:rsidR="00624A92">
        <w:rPr>
          <w:sz w:val="24"/>
          <w:szCs w:val="24"/>
        </w:rPr>
        <w:t>m</w:t>
      </w:r>
      <w:r w:rsidR="00645FE7" w:rsidRPr="006E2F0E">
        <w:rPr>
          <w:sz w:val="24"/>
          <w:szCs w:val="24"/>
        </w:rPr>
        <w:t xml:space="preserve"> provozní podporu </w:t>
      </w:r>
    </w:p>
    <w:p w14:paraId="50EE6F85" w14:textId="0A8EA59B" w:rsidR="006E2F0E" w:rsidRDefault="006E2F0E" w:rsidP="000B4301">
      <w:pPr>
        <w:pStyle w:val="Odstavecseseznamem"/>
        <w:widowControl w:val="0"/>
        <w:numPr>
          <w:ilvl w:val="0"/>
          <w:numId w:val="18"/>
        </w:numPr>
        <w:overflowPunct/>
        <w:spacing w:before="100" w:beforeAutospacing="1" w:after="100" w:afterAutospacing="1" w:line="276" w:lineRule="auto"/>
        <w:ind w:left="993" w:hanging="426"/>
        <w:jc w:val="both"/>
        <w:textAlignment w:val="auto"/>
        <w:rPr>
          <w:sz w:val="24"/>
          <w:szCs w:val="24"/>
        </w:rPr>
      </w:pPr>
      <w:r w:rsidRPr="006E2F0E">
        <w:rPr>
          <w:sz w:val="24"/>
          <w:szCs w:val="24"/>
          <w:u w:val="single"/>
        </w:rPr>
        <w:t>Německo</w:t>
      </w:r>
      <w:r>
        <w:rPr>
          <w:sz w:val="24"/>
          <w:szCs w:val="24"/>
        </w:rPr>
        <w:t xml:space="preserve"> - </w:t>
      </w:r>
      <w:r w:rsidRPr="006E2F0E">
        <w:rPr>
          <w:sz w:val="24"/>
          <w:szCs w:val="24"/>
        </w:rPr>
        <w:t>odpovědné orgány budou mít na starosti ověřit, že k</w:t>
      </w:r>
      <w:r>
        <w:rPr>
          <w:sz w:val="24"/>
          <w:szCs w:val="24"/>
        </w:rPr>
        <w:t>u</w:t>
      </w:r>
      <w:r w:rsidRPr="006E2F0E">
        <w:rPr>
          <w:sz w:val="24"/>
          <w:szCs w:val="24"/>
        </w:rPr>
        <w:t>mulace provozní a investiční podpory nepřekračuje míru příslušné podpory a zároveň nemá z</w:t>
      </w:r>
      <w:r w:rsidR="00624A92">
        <w:rPr>
          <w:sz w:val="24"/>
          <w:szCs w:val="24"/>
        </w:rPr>
        <w:t>a</w:t>
      </w:r>
      <w:r w:rsidRPr="006E2F0E">
        <w:rPr>
          <w:sz w:val="24"/>
          <w:szCs w:val="24"/>
        </w:rPr>
        <w:t xml:space="preserve"> následek překompenzaci. V případě režimů investičních podpor to platí pro stávající režimy podpor i pro navrhování případných nových investičních podpor. Německé orgány prokázaly, že zařízení využívající provozní podporu mohou dostávat pouze investiční podporu, pokud tato podpora nevede k celkové výši podpory (včetně investiční a provozní) větší než je rozdíl mezi výrobními náklady </w:t>
      </w:r>
      <w:r>
        <w:rPr>
          <w:sz w:val="24"/>
          <w:szCs w:val="24"/>
        </w:rPr>
        <w:t xml:space="preserve">(LCOE) </w:t>
      </w:r>
      <w:r w:rsidRPr="006E2F0E">
        <w:rPr>
          <w:sz w:val="24"/>
          <w:szCs w:val="24"/>
        </w:rPr>
        <w:t xml:space="preserve">a tržní cenou na jedné straně a mezi maximální povolenou mírou podpory podle </w:t>
      </w:r>
      <w:r w:rsidR="00C771C1">
        <w:rPr>
          <w:sz w:val="24"/>
          <w:szCs w:val="24"/>
        </w:rPr>
        <w:t>pokyn</w:t>
      </w:r>
      <w:r w:rsidR="00DA3320">
        <w:rPr>
          <w:sz w:val="24"/>
          <w:szCs w:val="24"/>
        </w:rPr>
        <w:t>ů</w:t>
      </w:r>
      <w:r w:rsidR="00C771C1">
        <w:rPr>
          <w:sz w:val="24"/>
          <w:szCs w:val="24"/>
        </w:rPr>
        <w:t xml:space="preserve"> pro státní podporu v oblasti životního prostředí a energetiky </w:t>
      </w:r>
      <w:r w:rsidR="00DA3320">
        <w:rPr>
          <w:sz w:val="24"/>
          <w:szCs w:val="24"/>
        </w:rPr>
        <w:t>(</w:t>
      </w:r>
      <w:r w:rsidRPr="006E2F0E">
        <w:rPr>
          <w:sz w:val="24"/>
          <w:szCs w:val="24"/>
        </w:rPr>
        <w:t>EEAG</w:t>
      </w:r>
      <w:r w:rsidR="00DA3320">
        <w:rPr>
          <w:sz w:val="24"/>
          <w:szCs w:val="24"/>
        </w:rPr>
        <w:t>)</w:t>
      </w:r>
      <w:r w:rsidRPr="006E2F0E">
        <w:rPr>
          <w:sz w:val="24"/>
          <w:szCs w:val="24"/>
        </w:rPr>
        <w:t xml:space="preserve"> nebo </w:t>
      </w:r>
      <w:r w:rsidR="00C771C1">
        <w:rPr>
          <w:sz w:val="24"/>
          <w:szCs w:val="24"/>
        </w:rPr>
        <w:t>obecné</w:t>
      </w:r>
      <w:r w:rsidR="00DA3320">
        <w:rPr>
          <w:sz w:val="24"/>
          <w:szCs w:val="24"/>
        </w:rPr>
        <w:t>ho</w:t>
      </w:r>
      <w:r w:rsidR="00C771C1">
        <w:rPr>
          <w:sz w:val="24"/>
          <w:szCs w:val="24"/>
        </w:rPr>
        <w:t xml:space="preserve"> nařízení o blokových </w:t>
      </w:r>
      <w:r w:rsidR="00B355E6">
        <w:rPr>
          <w:sz w:val="24"/>
          <w:szCs w:val="24"/>
        </w:rPr>
        <w:t>výjimkách</w:t>
      </w:r>
      <w:r w:rsidR="00C771C1">
        <w:rPr>
          <w:sz w:val="24"/>
          <w:szCs w:val="24"/>
        </w:rPr>
        <w:t xml:space="preserve"> </w:t>
      </w:r>
      <w:r w:rsidR="00DA3320">
        <w:rPr>
          <w:sz w:val="24"/>
          <w:szCs w:val="24"/>
        </w:rPr>
        <w:t>(</w:t>
      </w:r>
      <w:r w:rsidRPr="006E2F0E">
        <w:rPr>
          <w:sz w:val="24"/>
          <w:szCs w:val="24"/>
        </w:rPr>
        <w:t>GBER</w:t>
      </w:r>
      <w:r w:rsidR="00DA3320">
        <w:rPr>
          <w:sz w:val="24"/>
          <w:szCs w:val="24"/>
        </w:rPr>
        <w:t>)</w:t>
      </w:r>
      <w:r w:rsidRPr="006E2F0E">
        <w:rPr>
          <w:sz w:val="24"/>
          <w:szCs w:val="24"/>
        </w:rPr>
        <w:t>, pokud jde o investiční podporu</w:t>
      </w:r>
      <w:r>
        <w:rPr>
          <w:sz w:val="24"/>
          <w:szCs w:val="24"/>
        </w:rPr>
        <w:t>.</w:t>
      </w:r>
    </w:p>
    <w:p w14:paraId="663929D7" w14:textId="646C2B08" w:rsidR="006E2F0E" w:rsidRPr="006E2F0E" w:rsidRDefault="006E2F0E" w:rsidP="000B4301">
      <w:pPr>
        <w:pStyle w:val="Normlnweb"/>
        <w:numPr>
          <w:ilvl w:val="0"/>
          <w:numId w:val="18"/>
        </w:numPr>
        <w:spacing w:line="276" w:lineRule="auto"/>
        <w:ind w:left="993" w:hanging="426"/>
        <w:jc w:val="both"/>
        <w:rPr>
          <w:rFonts w:asciiTheme="minorHAnsi" w:hAnsiTheme="minorHAnsi" w:cstheme="minorHAnsi"/>
          <w:u w:val="single"/>
        </w:rPr>
      </w:pPr>
      <w:r w:rsidRPr="006E2F0E">
        <w:rPr>
          <w:rFonts w:asciiTheme="minorHAnsi" w:hAnsiTheme="minorHAnsi" w:cstheme="minorHAnsi"/>
          <w:u w:val="single"/>
        </w:rPr>
        <w:t>Polsko</w:t>
      </w:r>
      <w:r w:rsidRPr="006E2F0E">
        <w:rPr>
          <w:rFonts w:asciiTheme="minorHAnsi" w:hAnsiTheme="minorHAnsi" w:cstheme="minorHAnsi"/>
        </w:rPr>
        <w:t xml:space="preserve"> - kumulace podpory vycházející z faktu udělení více než jednoho typu certifikátu za jednotku elektřiny nevede k překompenzaci, jelikož režim CO (certificate of origin – osvědčení původu) podporuje dodatečné náklady vyplývající </w:t>
      </w:r>
      <w:r w:rsidRPr="006E2F0E">
        <w:rPr>
          <w:rFonts w:asciiTheme="minorHAnsi" w:hAnsiTheme="minorHAnsi" w:cstheme="minorHAnsi"/>
        </w:rPr>
        <w:lastRenderedPageBreak/>
        <w:t xml:space="preserve">z výroby energie z OZE, zatímco režim podpory KVET kryje dodatečné náklady spojené s kombinovanou výrobou elektřiny a tepla. Pokud jde o kumulaci certifikátů s investiční podporou, polské orgány tvrdí, že to skutečně je možné a stalo se to, ale nevedlo to k překompenzaci. Investiční podpora byla poskytnuta na základě nařízení Komise (ES) 800/2008 a v souladu s výší podpor v něm uložených. Kumulace s kogeneračními certifikáty byla možná, ale polské orgány to vzaly v úvahu při výpočtu LCOE a úroveň LCOE byla upravena odečtením hodnoty kogeneračních certifikátů, stejně jako tržeb za teplo. Komise porovnala celkové náklady a celkové výnosy u všech možných podpor, které by mohly být kumulovány (včetně investiční podpory, která byla udělena některým příjemcům po roce 2008). Pro všechny technologie převýšily výrobní náklady celkové výnosy (včetně podpory - investiční podpory a jiných forem provozní podpory, jmenovitě osvědčení KVET), což potvrzuje, že nedošlo k překompenzaci. Polsko potvrdilo, že výnosy z osvědčení o původu byly vzaty v úvahu za účelem poskytnutí investiční podpory, takže investiční podpora byla upravena tak, aby se zabránilo překompenzaci vyplývající z takové kumulace. Údaje poskytnuté Polskem podporují tento závěr a ukazují, že kumulace provozní podpory ve formě osvědčení o původu s jinými formami pomoci (zejména investiční podpory), nevedla k překompenzaci. Z toho vyplývá, že jestli se investiční podpora odečte od investičních nákladů, zbývající náklady jsou dostatečným důvodem pro poskytnutí provozní podpory ve formě osvědčení o původu. </w:t>
      </w:r>
    </w:p>
    <w:p w14:paraId="3A0705DB" w14:textId="3B0287D1" w:rsidR="006E2F0E" w:rsidRDefault="006E2F0E" w:rsidP="000B4301">
      <w:pPr>
        <w:pStyle w:val="Normlnweb"/>
        <w:numPr>
          <w:ilvl w:val="0"/>
          <w:numId w:val="18"/>
        </w:numPr>
        <w:spacing w:line="276" w:lineRule="auto"/>
        <w:ind w:left="993" w:hanging="426"/>
        <w:jc w:val="both"/>
        <w:rPr>
          <w:rFonts w:asciiTheme="minorHAnsi" w:hAnsiTheme="minorHAnsi" w:cstheme="minorHAnsi"/>
        </w:rPr>
      </w:pPr>
      <w:r w:rsidRPr="006E2F0E">
        <w:rPr>
          <w:rFonts w:asciiTheme="minorHAnsi" w:hAnsiTheme="minorHAnsi" w:cstheme="minorHAnsi"/>
          <w:u w:val="single"/>
        </w:rPr>
        <w:t>Rakousko</w:t>
      </w:r>
      <w:r w:rsidRPr="006E2F0E">
        <w:rPr>
          <w:rFonts w:asciiTheme="minorHAnsi" w:hAnsiTheme="minorHAnsi" w:cstheme="minorHAnsi"/>
        </w:rPr>
        <w:t xml:space="preserve"> - pouze omezený počet výrobců elektřiny z </w:t>
      </w:r>
      <w:r>
        <w:rPr>
          <w:rFonts w:asciiTheme="minorHAnsi" w:hAnsiTheme="minorHAnsi" w:cstheme="minorHAnsi"/>
        </w:rPr>
        <w:t>OZE</w:t>
      </w:r>
      <w:r w:rsidRPr="006E2F0E">
        <w:rPr>
          <w:rFonts w:asciiTheme="minorHAnsi" w:hAnsiTheme="minorHAnsi" w:cstheme="minorHAnsi"/>
        </w:rPr>
        <w:t xml:space="preserve"> těžil z investiční podpory kromě pro</w:t>
      </w:r>
      <w:r>
        <w:rPr>
          <w:rFonts w:asciiTheme="minorHAnsi" w:hAnsiTheme="minorHAnsi" w:cstheme="minorHAnsi"/>
        </w:rPr>
        <w:t>vozní podpory</w:t>
      </w:r>
      <w:r w:rsidRPr="006E2F0E">
        <w:rPr>
          <w:rFonts w:asciiTheme="minorHAnsi" w:hAnsiTheme="minorHAnsi" w:cstheme="minorHAnsi"/>
        </w:rPr>
        <w:t xml:space="preserve">. Rakousko zkoumalo režimy investičních podpor na federální úrovni a na úrovni </w:t>
      </w:r>
      <w:r w:rsidR="00786D83">
        <w:rPr>
          <w:rFonts w:asciiTheme="minorHAnsi" w:hAnsiTheme="minorHAnsi" w:cstheme="minorHAnsi"/>
        </w:rPr>
        <w:t>„</w:t>
      </w:r>
      <w:r w:rsidRPr="006E2F0E">
        <w:rPr>
          <w:rFonts w:asciiTheme="minorHAnsi" w:hAnsiTheme="minorHAnsi" w:cstheme="minorHAnsi"/>
        </w:rPr>
        <w:t>spolkových zemí</w:t>
      </w:r>
      <w:r w:rsidR="00786D83">
        <w:rPr>
          <w:rFonts w:asciiTheme="minorHAnsi" w:hAnsiTheme="minorHAnsi" w:cstheme="minorHAnsi"/>
        </w:rPr>
        <w:t>“</w:t>
      </w:r>
      <w:r w:rsidR="00786D83" w:rsidRPr="006E2F0E">
        <w:rPr>
          <w:rFonts w:asciiTheme="minorHAnsi" w:hAnsiTheme="minorHAnsi" w:cstheme="minorHAnsi"/>
        </w:rPr>
        <w:t xml:space="preserve"> </w:t>
      </w:r>
      <w:r w:rsidRPr="006E2F0E">
        <w:rPr>
          <w:rFonts w:asciiTheme="minorHAnsi" w:hAnsiTheme="minorHAnsi" w:cstheme="minorHAnsi"/>
        </w:rPr>
        <w:t xml:space="preserve">v detailu a dospělo k závěru, že v téměř žádném případě poskytnutá investiční podpora nevedla k amortizačnímu období pod 13 let, respektive zůstala pod úrovní pokrytí nákladů navrhovaného odborníky před tím, než byly stanoveny výkupní ceny. V praxi tedy jakákoli kumulovaná podpora nevedla k překompenzaci příjemců. Několik opatření na podporu investic do výroby zelené elektřiny bylo ukončeno v posledních letech. Při notifikaci upraveného zákona Rakousko informovalo Komisi, že podpora v zásadě nemohla být kumulována s jinou podporou. Pokud by však k tomu mělo dojít, budou respektována pravidla o kumulaci. </w:t>
      </w:r>
    </w:p>
    <w:p w14:paraId="3AE76B20" w14:textId="24BBACC2" w:rsidR="004C561B" w:rsidRDefault="004C561B" w:rsidP="000B4301">
      <w:pPr>
        <w:widowControl w:val="0"/>
        <w:numPr>
          <w:ilvl w:val="1"/>
          <w:numId w:val="4"/>
        </w:numPr>
        <w:overflowPunct/>
        <w:spacing w:before="100" w:beforeAutospacing="1" w:after="100" w:afterAutospacing="1" w:line="240" w:lineRule="auto"/>
        <w:ind w:left="567" w:hanging="567"/>
        <w:jc w:val="both"/>
        <w:textAlignment w:val="auto"/>
        <w:rPr>
          <w:sz w:val="24"/>
          <w:szCs w:val="24"/>
        </w:rPr>
      </w:pPr>
      <w:r w:rsidRPr="00367473">
        <w:rPr>
          <w:sz w:val="24"/>
          <w:szCs w:val="24"/>
        </w:rPr>
        <w:t xml:space="preserve">V žádném z analyzovaných  rozhodnutí </w:t>
      </w:r>
      <w:r w:rsidR="00BD4871">
        <w:rPr>
          <w:sz w:val="24"/>
          <w:szCs w:val="24"/>
        </w:rPr>
        <w:t xml:space="preserve">Evropské komise </w:t>
      </w:r>
      <w:r w:rsidRPr="00367473">
        <w:rPr>
          <w:sz w:val="24"/>
          <w:szCs w:val="24"/>
        </w:rPr>
        <w:t xml:space="preserve">ostatních členských zemí EU </w:t>
      </w:r>
      <w:r w:rsidR="003E3551">
        <w:rPr>
          <w:sz w:val="24"/>
          <w:szCs w:val="24"/>
        </w:rPr>
        <w:t xml:space="preserve">(vyjma Slovinska) </w:t>
      </w:r>
      <w:r w:rsidRPr="003E3551">
        <w:rPr>
          <w:b/>
          <w:sz w:val="24"/>
          <w:szCs w:val="24"/>
        </w:rPr>
        <w:t>není zakotven systém individuálních kontrol u subjektů</w:t>
      </w:r>
      <w:r w:rsidRPr="00367473">
        <w:rPr>
          <w:sz w:val="24"/>
          <w:szCs w:val="24"/>
        </w:rPr>
        <w:t xml:space="preserve">, pobírajících podporu. </w:t>
      </w:r>
    </w:p>
    <w:p w14:paraId="7BA6B2B2" w14:textId="2DE1CA44" w:rsidR="003E3551" w:rsidRDefault="003E3551" w:rsidP="000B4301">
      <w:pPr>
        <w:widowControl w:val="0"/>
        <w:numPr>
          <w:ilvl w:val="1"/>
          <w:numId w:val="4"/>
        </w:numPr>
        <w:overflowPunct/>
        <w:spacing w:before="100" w:beforeAutospacing="1" w:after="100" w:afterAutospacing="1" w:line="240" w:lineRule="auto"/>
        <w:ind w:left="567" w:hanging="567"/>
        <w:jc w:val="both"/>
        <w:textAlignment w:val="auto"/>
        <w:rPr>
          <w:sz w:val="24"/>
          <w:szCs w:val="24"/>
        </w:rPr>
      </w:pPr>
      <w:r w:rsidRPr="00367473">
        <w:rPr>
          <w:sz w:val="24"/>
          <w:szCs w:val="24"/>
        </w:rPr>
        <w:t>V</w:t>
      </w:r>
      <w:r>
        <w:rPr>
          <w:sz w:val="24"/>
          <w:szCs w:val="24"/>
        </w:rPr>
        <w:t xml:space="preserve">e většině analyzovaných rozhodnutích </w:t>
      </w:r>
      <w:r w:rsidR="00BD4871">
        <w:rPr>
          <w:sz w:val="24"/>
          <w:szCs w:val="24"/>
        </w:rPr>
        <w:t xml:space="preserve">Evropské komise </w:t>
      </w:r>
      <w:r w:rsidRPr="003953C4">
        <w:rPr>
          <w:b/>
          <w:sz w:val="24"/>
          <w:szCs w:val="24"/>
        </w:rPr>
        <w:t>jsou uvedeny závazky na odčerpání investiční podpory</w:t>
      </w:r>
      <w:r>
        <w:rPr>
          <w:sz w:val="24"/>
          <w:szCs w:val="24"/>
        </w:rPr>
        <w:t xml:space="preserve">, pokud byla </w:t>
      </w:r>
      <w:r w:rsidR="00C35BF3">
        <w:rPr>
          <w:sz w:val="24"/>
          <w:szCs w:val="24"/>
        </w:rPr>
        <w:t xml:space="preserve">tato investiční podpora výrobnám </w:t>
      </w:r>
      <w:r>
        <w:rPr>
          <w:sz w:val="24"/>
          <w:szCs w:val="24"/>
        </w:rPr>
        <w:t>udělena</w:t>
      </w:r>
      <w:r w:rsidR="00C35BF3">
        <w:rPr>
          <w:sz w:val="24"/>
          <w:szCs w:val="24"/>
        </w:rPr>
        <w:t xml:space="preserve"> (plného odčerpání na individuální úrovni jednotlivých projektů)</w:t>
      </w:r>
      <w:r w:rsidRPr="00367473">
        <w:rPr>
          <w:sz w:val="24"/>
          <w:szCs w:val="24"/>
        </w:rPr>
        <w:t xml:space="preserve">. </w:t>
      </w:r>
    </w:p>
    <w:p w14:paraId="500124B1" w14:textId="1D73EE86" w:rsidR="004C561B" w:rsidRPr="00C07DEA" w:rsidRDefault="004C561B" w:rsidP="00C35BF3">
      <w:pPr>
        <w:widowControl w:val="0"/>
        <w:numPr>
          <w:ilvl w:val="1"/>
          <w:numId w:val="4"/>
        </w:numPr>
        <w:overflowPunct/>
        <w:spacing w:before="100" w:beforeAutospacing="1" w:after="100" w:afterAutospacing="1" w:line="240" w:lineRule="auto"/>
        <w:ind w:left="567" w:hanging="567"/>
        <w:jc w:val="both"/>
        <w:textAlignment w:val="auto"/>
        <w:rPr>
          <w:i/>
          <w:sz w:val="24"/>
          <w:szCs w:val="24"/>
        </w:rPr>
      </w:pPr>
      <w:r w:rsidRPr="00367473">
        <w:rPr>
          <w:sz w:val="24"/>
          <w:szCs w:val="24"/>
        </w:rPr>
        <w:t>V žádném z</w:t>
      </w:r>
      <w:r w:rsidR="00AD7386">
        <w:rPr>
          <w:sz w:val="24"/>
          <w:szCs w:val="24"/>
        </w:rPr>
        <w:t xml:space="preserve"> analyzovaných </w:t>
      </w:r>
      <w:r w:rsidRPr="00367473">
        <w:rPr>
          <w:sz w:val="24"/>
          <w:szCs w:val="24"/>
        </w:rPr>
        <w:t xml:space="preserve">rozhodnutí </w:t>
      </w:r>
      <w:r w:rsidR="00BD4871">
        <w:rPr>
          <w:sz w:val="24"/>
          <w:szCs w:val="24"/>
        </w:rPr>
        <w:t xml:space="preserve">Evropské komise </w:t>
      </w:r>
      <w:r w:rsidRPr="00367473">
        <w:rPr>
          <w:sz w:val="24"/>
          <w:szCs w:val="24"/>
        </w:rPr>
        <w:t xml:space="preserve">ostatních členských zemí EU </w:t>
      </w:r>
      <w:r w:rsidRPr="003953C4">
        <w:rPr>
          <w:b/>
          <w:sz w:val="24"/>
          <w:szCs w:val="24"/>
        </w:rPr>
        <w:t xml:space="preserve">při redukci </w:t>
      </w:r>
      <w:r w:rsidR="008474FA" w:rsidRPr="003953C4">
        <w:rPr>
          <w:b/>
          <w:sz w:val="24"/>
          <w:szCs w:val="24"/>
        </w:rPr>
        <w:t>p</w:t>
      </w:r>
      <w:r w:rsidR="008474FA" w:rsidRPr="000A5DB5">
        <w:rPr>
          <w:b/>
          <w:sz w:val="24"/>
          <w:szCs w:val="24"/>
        </w:rPr>
        <w:t xml:space="preserve">odpory </w:t>
      </w:r>
      <w:r w:rsidR="003E3551" w:rsidRPr="000A5DB5">
        <w:rPr>
          <w:b/>
          <w:sz w:val="24"/>
          <w:szCs w:val="24"/>
        </w:rPr>
        <w:t xml:space="preserve">není </w:t>
      </w:r>
      <w:r w:rsidRPr="000A5DB5">
        <w:rPr>
          <w:b/>
          <w:sz w:val="24"/>
          <w:szCs w:val="24"/>
        </w:rPr>
        <w:t>přímá provázanost na konkrétní přesné hodnoty IRR</w:t>
      </w:r>
      <w:r w:rsidRPr="000A5DB5">
        <w:rPr>
          <w:sz w:val="24"/>
          <w:szCs w:val="24"/>
        </w:rPr>
        <w:t xml:space="preserve"> jednotlivých druhů a typů OZE. </w:t>
      </w:r>
      <w:r w:rsidR="000A5DB5">
        <w:rPr>
          <w:sz w:val="24"/>
          <w:szCs w:val="24"/>
        </w:rPr>
        <w:t>T</w:t>
      </w:r>
      <w:r w:rsidR="000A5DB5" w:rsidRPr="000A5DB5">
        <w:rPr>
          <w:sz w:val="24"/>
          <w:szCs w:val="24"/>
        </w:rPr>
        <w:t>oto pevné „svázání“ hodnot IRR se závazkem na mechanismus kontroly přiměřenosti podpory, je uni</w:t>
      </w:r>
      <w:r w:rsidR="00B355E6">
        <w:rPr>
          <w:sz w:val="24"/>
          <w:szCs w:val="24"/>
        </w:rPr>
        <w:t>k</w:t>
      </w:r>
      <w:r w:rsidR="000A5DB5" w:rsidRPr="000A5DB5">
        <w:rPr>
          <w:sz w:val="24"/>
          <w:szCs w:val="24"/>
        </w:rPr>
        <w:t>átní a je zavedeno pouze pro ČR</w:t>
      </w:r>
      <w:r w:rsidR="000A5DB5" w:rsidRPr="0067608B">
        <w:rPr>
          <w:i/>
          <w:sz w:val="24"/>
          <w:szCs w:val="24"/>
        </w:rPr>
        <w:t xml:space="preserve"> </w:t>
      </w:r>
      <w:r w:rsidR="0067608B" w:rsidRPr="0067608B">
        <w:rPr>
          <w:i/>
          <w:sz w:val="24"/>
          <w:szCs w:val="24"/>
        </w:rPr>
        <w:lastRenderedPageBreak/>
        <w:t xml:space="preserve">(Poznámka: </w:t>
      </w:r>
      <w:r w:rsidR="00C35BF3" w:rsidRPr="00AC6458">
        <w:t>J</w:t>
      </w:r>
      <w:r w:rsidR="00C35BF3" w:rsidRPr="00C07DEA">
        <w:rPr>
          <w:i/>
          <w:sz w:val="24"/>
          <w:szCs w:val="24"/>
        </w:rPr>
        <w:t>e však nutné poznamenat, že rozhodnutí Evropské komise pro provozní podporu energie z OZE u jiných členských států byla povětšinou vydána pro podpory poskytované do budoucna, tedy od doby rozhodnutí Evropské komise (nikoli pro již poskytnuté a poskytované podpory) a možnost překompenzace podpory v těchto rozhodnutích Evropské komise u jiných členských států byla identifikována především z umožněné kumulace několika druhů podpor např. provozní podpory elektřiny z OZE a investiční podpory. Jednalo se tedy podobný přístup jaký byl aplikován například v rozhodnutích Evropské komise pro Českou republiku pro podporu uplatňovanou pro výrobny uvedené do provozu od 1. ledna 1016, tedy v rozhodnutích SA. 43182 (2015/N), SA. 43451 (2015/N) a SA. 45768 (2016/N) – případy 3 až 5 popisované v kapitole 3 a nebyla tedy identifikována možnost překompentaci podpory jen ze samotné podpory elektřiny z OZE bez kumulace s dalšími druhy podpor, což se dotýká většinou jiných situací, než je rozhodnutí Evropské komise v řízeních SA. 35177 a SA. 40171 pro ČR</w:t>
      </w:r>
      <w:r w:rsidR="00C35BF3" w:rsidRPr="00C35BF3">
        <w:t>.</w:t>
      </w:r>
      <w:r w:rsidR="0067608B" w:rsidRPr="00C07DEA">
        <w:rPr>
          <w:i/>
          <w:sz w:val="24"/>
          <w:szCs w:val="24"/>
        </w:rPr>
        <w:t>).</w:t>
      </w:r>
    </w:p>
    <w:p w14:paraId="763D1251" w14:textId="77777777" w:rsidR="00C35BF3" w:rsidRPr="00C07DEA" w:rsidRDefault="003953C4" w:rsidP="00C07DEA">
      <w:pPr>
        <w:widowControl w:val="0"/>
        <w:numPr>
          <w:ilvl w:val="1"/>
          <w:numId w:val="4"/>
        </w:numPr>
        <w:overflowPunct/>
        <w:spacing w:before="100" w:beforeAutospacing="1" w:after="100" w:afterAutospacing="1" w:line="240" w:lineRule="auto"/>
        <w:ind w:left="567" w:hanging="567"/>
        <w:jc w:val="both"/>
        <w:textAlignment w:val="auto"/>
        <w:rPr>
          <w:i/>
          <w:sz w:val="24"/>
          <w:szCs w:val="24"/>
        </w:rPr>
      </w:pPr>
      <w:r w:rsidRPr="00C35BF3">
        <w:rPr>
          <w:sz w:val="24"/>
          <w:szCs w:val="24"/>
        </w:rPr>
        <w:t xml:space="preserve">Ve všech analyzovaných rozhodnutích </w:t>
      </w:r>
      <w:r w:rsidR="00BD4871" w:rsidRPr="00C35BF3">
        <w:rPr>
          <w:sz w:val="24"/>
          <w:szCs w:val="24"/>
        </w:rPr>
        <w:t xml:space="preserve">Evropské komise </w:t>
      </w:r>
      <w:r w:rsidRPr="00C35BF3">
        <w:rPr>
          <w:sz w:val="24"/>
          <w:szCs w:val="24"/>
        </w:rPr>
        <w:t xml:space="preserve">(vyjma Slovinska) </w:t>
      </w:r>
      <w:r w:rsidRPr="00C35BF3">
        <w:rPr>
          <w:b/>
          <w:sz w:val="24"/>
          <w:szCs w:val="24"/>
        </w:rPr>
        <w:t>jsou uvedeny hodnoty IRR</w:t>
      </w:r>
      <w:r w:rsidR="00AD7386" w:rsidRPr="00C35BF3">
        <w:rPr>
          <w:b/>
          <w:sz w:val="24"/>
          <w:szCs w:val="24"/>
        </w:rPr>
        <w:t xml:space="preserve"> rozpětí</w:t>
      </w:r>
      <w:r w:rsidRPr="00C35BF3">
        <w:rPr>
          <w:b/>
          <w:sz w:val="24"/>
          <w:szCs w:val="24"/>
        </w:rPr>
        <w:t xml:space="preserve">, které jsou na úrovni hodnot uvedených pro ČR. </w:t>
      </w:r>
    </w:p>
    <w:p w14:paraId="10479360" w14:textId="0C8723CC" w:rsidR="0037390C" w:rsidRPr="00C07DEA" w:rsidRDefault="003953C4" w:rsidP="00C07DEA">
      <w:pPr>
        <w:widowControl w:val="0"/>
        <w:numPr>
          <w:ilvl w:val="1"/>
          <w:numId w:val="4"/>
        </w:numPr>
        <w:overflowPunct/>
        <w:spacing w:before="100" w:beforeAutospacing="1" w:after="100" w:afterAutospacing="1" w:line="240" w:lineRule="auto"/>
        <w:ind w:left="567" w:hanging="567"/>
        <w:jc w:val="both"/>
        <w:textAlignment w:val="auto"/>
        <w:rPr>
          <w:i/>
          <w:sz w:val="24"/>
          <w:szCs w:val="24"/>
        </w:rPr>
      </w:pPr>
      <w:r w:rsidRPr="00C07DEA">
        <w:rPr>
          <w:sz w:val="24"/>
          <w:szCs w:val="24"/>
        </w:rPr>
        <w:t xml:space="preserve">Většina z analyzovaných rozhodnutích </w:t>
      </w:r>
      <w:r w:rsidR="00BD4871" w:rsidRPr="00C07DEA">
        <w:rPr>
          <w:sz w:val="24"/>
          <w:szCs w:val="24"/>
        </w:rPr>
        <w:t xml:space="preserve">Evropské komise </w:t>
      </w:r>
      <w:r w:rsidR="004D472B" w:rsidRPr="00C07DEA">
        <w:rPr>
          <w:b/>
          <w:sz w:val="24"/>
          <w:szCs w:val="24"/>
        </w:rPr>
        <w:t xml:space="preserve">schvalovala </w:t>
      </w:r>
      <w:r w:rsidRPr="00C07DEA">
        <w:rPr>
          <w:b/>
          <w:sz w:val="24"/>
          <w:szCs w:val="24"/>
        </w:rPr>
        <w:t>budoucí poskytovanou podporu, tedy nikoliv již na vyplácenou podporu</w:t>
      </w:r>
      <w:r w:rsidR="00DE2E99" w:rsidRPr="00C07DEA">
        <w:rPr>
          <w:sz w:val="24"/>
          <w:szCs w:val="24"/>
        </w:rPr>
        <w:t xml:space="preserve"> </w:t>
      </w:r>
      <w:r w:rsidR="00C35BF3" w:rsidRPr="00C07DEA">
        <w:rPr>
          <w:sz w:val="24"/>
          <w:szCs w:val="24"/>
        </w:rPr>
        <w:t>– viz. poznámka v bodě 5</w:t>
      </w:r>
      <w:r w:rsidR="00C35BF3">
        <w:rPr>
          <w:b/>
          <w:sz w:val="24"/>
          <w:szCs w:val="24"/>
        </w:rPr>
        <w:t xml:space="preserve"> </w:t>
      </w:r>
      <w:r w:rsidR="00DE2E99" w:rsidRPr="00C07DEA">
        <w:rPr>
          <w:sz w:val="24"/>
          <w:szCs w:val="24"/>
        </w:rPr>
        <w:t xml:space="preserve">(3 rozhodnutí </w:t>
      </w:r>
      <w:r w:rsidR="004D472B" w:rsidRPr="00C07DEA">
        <w:rPr>
          <w:sz w:val="24"/>
          <w:szCs w:val="24"/>
        </w:rPr>
        <w:t>se vztahují na</w:t>
      </w:r>
      <w:r w:rsidR="004D472B" w:rsidRPr="00C35BF3">
        <w:rPr>
          <w:sz w:val="24"/>
          <w:szCs w:val="24"/>
        </w:rPr>
        <w:t xml:space="preserve"> </w:t>
      </w:r>
      <w:r w:rsidR="00DE2E99" w:rsidRPr="00C35BF3">
        <w:rPr>
          <w:sz w:val="24"/>
          <w:szCs w:val="24"/>
        </w:rPr>
        <w:t>část</w:t>
      </w:r>
      <w:r w:rsidR="00AD7386" w:rsidRPr="00C35BF3">
        <w:rPr>
          <w:sz w:val="24"/>
          <w:szCs w:val="24"/>
        </w:rPr>
        <w:t>e</w:t>
      </w:r>
      <w:r w:rsidR="00DE2E99" w:rsidRPr="00C35BF3">
        <w:rPr>
          <w:sz w:val="24"/>
          <w:szCs w:val="24"/>
        </w:rPr>
        <w:t xml:space="preserve">čně nebo úplně již vyplácenou podporu – Bulharsko, Německo a Polsko a 6  rozhodnutí </w:t>
      </w:r>
      <w:r w:rsidR="004D472B" w:rsidRPr="00C35BF3">
        <w:rPr>
          <w:sz w:val="24"/>
          <w:szCs w:val="24"/>
        </w:rPr>
        <w:t xml:space="preserve">se vztahuje na </w:t>
      </w:r>
      <w:r w:rsidR="00DE2E99" w:rsidRPr="00C35BF3">
        <w:rPr>
          <w:sz w:val="24"/>
          <w:szCs w:val="24"/>
        </w:rPr>
        <w:t>budoucí poskytovanou podporu)</w:t>
      </w:r>
      <w:r w:rsidRPr="00C35BF3">
        <w:rPr>
          <w:sz w:val="24"/>
          <w:szCs w:val="24"/>
        </w:rPr>
        <w:t>.</w:t>
      </w:r>
      <w:r w:rsidRPr="00C35BF3">
        <w:rPr>
          <w:b/>
          <w:sz w:val="24"/>
          <w:szCs w:val="24"/>
        </w:rPr>
        <w:t xml:space="preserve"> </w:t>
      </w:r>
      <w:r w:rsidR="0067608B" w:rsidRPr="00C35BF3">
        <w:rPr>
          <w:sz w:val="24"/>
          <w:szCs w:val="24"/>
        </w:rPr>
        <w:t>Podobný přístup</w:t>
      </w:r>
      <w:r w:rsidR="005714E3" w:rsidRPr="00C35BF3">
        <w:rPr>
          <w:sz w:val="24"/>
          <w:szCs w:val="24"/>
        </w:rPr>
        <w:t>, tzn. posouzení přiměřenosti zejm. nových podpor poskytovaných do budoucna,</w:t>
      </w:r>
      <w:r w:rsidR="0067608B" w:rsidRPr="00CE0367">
        <w:rPr>
          <w:sz w:val="24"/>
          <w:szCs w:val="24"/>
        </w:rPr>
        <w:t xml:space="preserve"> </w:t>
      </w:r>
      <w:r w:rsidR="002A17FE" w:rsidRPr="00FA7B72">
        <w:rPr>
          <w:sz w:val="24"/>
          <w:szCs w:val="24"/>
        </w:rPr>
        <w:t>zaujala</w:t>
      </w:r>
      <w:r w:rsidR="0067608B" w:rsidRPr="00FA7B72">
        <w:rPr>
          <w:sz w:val="24"/>
          <w:szCs w:val="24"/>
        </w:rPr>
        <w:t xml:space="preserve"> Evrop</w:t>
      </w:r>
      <w:r w:rsidR="00101CE2" w:rsidRPr="00FA7B72">
        <w:rPr>
          <w:sz w:val="24"/>
          <w:szCs w:val="24"/>
        </w:rPr>
        <w:t>ská</w:t>
      </w:r>
      <w:r w:rsidR="0067608B" w:rsidRPr="00FA7B72">
        <w:rPr>
          <w:sz w:val="24"/>
          <w:szCs w:val="24"/>
        </w:rPr>
        <w:t xml:space="preserve"> komise také </w:t>
      </w:r>
      <w:r w:rsidR="00D56460" w:rsidRPr="00FA7B72">
        <w:rPr>
          <w:sz w:val="24"/>
          <w:szCs w:val="24"/>
        </w:rPr>
        <w:t>vůči Česk</w:t>
      </w:r>
      <w:r w:rsidR="00D56460" w:rsidRPr="007836E9">
        <w:rPr>
          <w:sz w:val="24"/>
          <w:szCs w:val="24"/>
        </w:rPr>
        <w:t xml:space="preserve">é </w:t>
      </w:r>
      <w:r w:rsidR="0067608B" w:rsidRPr="007836E9">
        <w:rPr>
          <w:sz w:val="24"/>
          <w:szCs w:val="24"/>
        </w:rPr>
        <w:t>republi</w:t>
      </w:r>
      <w:r w:rsidR="00D56460" w:rsidRPr="00593D2C">
        <w:rPr>
          <w:sz w:val="24"/>
          <w:szCs w:val="24"/>
        </w:rPr>
        <w:t>ce</w:t>
      </w:r>
      <w:r w:rsidR="0067608B" w:rsidRPr="00593D2C">
        <w:rPr>
          <w:sz w:val="24"/>
          <w:szCs w:val="24"/>
        </w:rPr>
        <w:t xml:space="preserve">, kdy </w:t>
      </w:r>
      <w:r w:rsidR="005714E3" w:rsidRPr="00593D2C">
        <w:rPr>
          <w:sz w:val="24"/>
          <w:szCs w:val="24"/>
        </w:rPr>
        <w:t xml:space="preserve">nejprve </w:t>
      </w:r>
      <w:r w:rsidR="0067608B" w:rsidRPr="00C14EDF">
        <w:rPr>
          <w:sz w:val="24"/>
          <w:szCs w:val="24"/>
        </w:rPr>
        <w:t>posoudila pouze podporu elektřiny z OZE pro zdroje uvedené do provozu od 1. ledna 2013 do 31. prosince 2015 a následně posoudila nově zaváděnou podporu pro teplo vyráběné z bioplynových stanic uvedených do provozu v období od 1.1.2016 do 31.12.2020  nebo elektřin</w:t>
      </w:r>
      <w:r w:rsidR="008804DE" w:rsidRPr="00125810">
        <w:rPr>
          <w:sz w:val="24"/>
          <w:szCs w:val="24"/>
        </w:rPr>
        <w:t>u</w:t>
      </w:r>
      <w:r w:rsidR="0067608B" w:rsidRPr="00125810">
        <w:rPr>
          <w:sz w:val="24"/>
          <w:szCs w:val="24"/>
        </w:rPr>
        <w:t xml:space="preserve"> z nový</w:t>
      </w:r>
      <w:r w:rsidR="0067608B" w:rsidRPr="00352411">
        <w:rPr>
          <w:sz w:val="24"/>
          <w:szCs w:val="24"/>
        </w:rPr>
        <w:t xml:space="preserve">ch nebo kompletně rekonstruovaných vodních elektráren s instalovaným výkonem do 10 MW uvedených do provozu od 1.1.2016 do 31.12.2020. </w:t>
      </w:r>
      <w:r w:rsidR="009761F4" w:rsidRPr="00C35BF3">
        <w:rPr>
          <w:sz w:val="24"/>
          <w:szCs w:val="24"/>
        </w:rPr>
        <w:t>Podporu</w:t>
      </w:r>
      <w:r w:rsidR="0067608B" w:rsidRPr="00C35BF3">
        <w:rPr>
          <w:sz w:val="24"/>
          <w:szCs w:val="24"/>
        </w:rPr>
        <w:t xml:space="preserve"> elektřiny z OZE pro zdroje uvedené do provozu před 1. lednem 2013 Evropská komise </w:t>
      </w:r>
      <w:r w:rsidR="002A17FE" w:rsidRPr="00C35BF3">
        <w:rPr>
          <w:sz w:val="24"/>
          <w:szCs w:val="24"/>
        </w:rPr>
        <w:t>posuzovala až na základě dodatečné notifikace České republiky</w:t>
      </w:r>
      <w:r w:rsidR="005714E3" w:rsidRPr="00C35BF3">
        <w:rPr>
          <w:sz w:val="24"/>
          <w:szCs w:val="24"/>
        </w:rPr>
        <w:t>.</w:t>
      </w:r>
    </w:p>
    <w:p w14:paraId="15B42238" w14:textId="77777777" w:rsidR="00CA77B4" w:rsidRDefault="00CA77B4" w:rsidP="00816A2B">
      <w:pPr>
        <w:tabs>
          <w:tab w:val="left" w:pos="0"/>
        </w:tabs>
        <w:overflowPunct/>
        <w:autoSpaceDE/>
        <w:autoSpaceDN/>
        <w:adjustRightInd/>
        <w:spacing w:after="0" w:line="240" w:lineRule="auto"/>
        <w:jc w:val="both"/>
        <w:textAlignment w:val="auto"/>
        <w:rPr>
          <w:i/>
          <w:sz w:val="24"/>
          <w:szCs w:val="24"/>
        </w:rPr>
      </w:pPr>
    </w:p>
    <w:p w14:paraId="172B2D05" w14:textId="77777777" w:rsidR="00DA3320" w:rsidRDefault="00DA3320" w:rsidP="00816A2B">
      <w:pPr>
        <w:tabs>
          <w:tab w:val="left" w:pos="0"/>
        </w:tabs>
        <w:overflowPunct/>
        <w:autoSpaceDE/>
        <w:autoSpaceDN/>
        <w:adjustRightInd/>
        <w:spacing w:after="0" w:line="240" w:lineRule="auto"/>
        <w:jc w:val="both"/>
        <w:textAlignment w:val="auto"/>
        <w:rPr>
          <w:i/>
          <w:sz w:val="24"/>
          <w:szCs w:val="24"/>
        </w:rPr>
      </w:pPr>
    </w:p>
    <w:p w14:paraId="3A1D90CA" w14:textId="77777777" w:rsidR="00C07DEA" w:rsidRDefault="00C07DEA" w:rsidP="00816A2B">
      <w:pPr>
        <w:tabs>
          <w:tab w:val="left" w:pos="0"/>
        </w:tabs>
        <w:overflowPunct/>
        <w:autoSpaceDE/>
        <w:autoSpaceDN/>
        <w:adjustRightInd/>
        <w:spacing w:after="0" w:line="240" w:lineRule="auto"/>
        <w:jc w:val="both"/>
        <w:textAlignment w:val="auto"/>
        <w:rPr>
          <w:i/>
          <w:sz w:val="24"/>
          <w:szCs w:val="24"/>
        </w:rPr>
      </w:pPr>
    </w:p>
    <w:p w14:paraId="1B48573F" w14:textId="77777777" w:rsidR="00C07DEA" w:rsidRDefault="00C07DEA" w:rsidP="00816A2B">
      <w:pPr>
        <w:tabs>
          <w:tab w:val="left" w:pos="0"/>
        </w:tabs>
        <w:overflowPunct/>
        <w:autoSpaceDE/>
        <w:autoSpaceDN/>
        <w:adjustRightInd/>
        <w:spacing w:after="0" w:line="240" w:lineRule="auto"/>
        <w:jc w:val="both"/>
        <w:textAlignment w:val="auto"/>
        <w:rPr>
          <w:i/>
          <w:sz w:val="24"/>
          <w:szCs w:val="24"/>
        </w:rPr>
      </w:pPr>
    </w:p>
    <w:p w14:paraId="4147D8C3" w14:textId="77777777" w:rsidR="00C07DEA" w:rsidRDefault="00C07DEA" w:rsidP="00816A2B">
      <w:pPr>
        <w:tabs>
          <w:tab w:val="left" w:pos="0"/>
        </w:tabs>
        <w:overflowPunct/>
        <w:autoSpaceDE/>
        <w:autoSpaceDN/>
        <w:adjustRightInd/>
        <w:spacing w:after="0" w:line="240" w:lineRule="auto"/>
        <w:jc w:val="both"/>
        <w:textAlignment w:val="auto"/>
        <w:rPr>
          <w:i/>
          <w:sz w:val="24"/>
          <w:szCs w:val="24"/>
        </w:rPr>
      </w:pPr>
    </w:p>
    <w:p w14:paraId="7C53989D" w14:textId="77777777" w:rsidR="00C07DEA" w:rsidRDefault="00C07DEA" w:rsidP="00816A2B">
      <w:pPr>
        <w:tabs>
          <w:tab w:val="left" w:pos="0"/>
        </w:tabs>
        <w:overflowPunct/>
        <w:autoSpaceDE/>
        <w:autoSpaceDN/>
        <w:adjustRightInd/>
        <w:spacing w:after="0" w:line="240" w:lineRule="auto"/>
        <w:jc w:val="both"/>
        <w:textAlignment w:val="auto"/>
        <w:rPr>
          <w:i/>
          <w:sz w:val="24"/>
          <w:szCs w:val="24"/>
        </w:rPr>
      </w:pPr>
    </w:p>
    <w:p w14:paraId="2E12AED4" w14:textId="77777777" w:rsidR="00C07DEA" w:rsidRDefault="00C07DEA" w:rsidP="00816A2B">
      <w:pPr>
        <w:tabs>
          <w:tab w:val="left" w:pos="0"/>
        </w:tabs>
        <w:overflowPunct/>
        <w:autoSpaceDE/>
        <w:autoSpaceDN/>
        <w:adjustRightInd/>
        <w:spacing w:after="0" w:line="240" w:lineRule="auto"/>
        <w:jc w:val="both"/>
        <w:textAlignment w:val="auto"/>
        <w:rPr>
          <w:i/>
          <w:sz w:val="24"/>
          <w:szCs w:val="24"/>
        </w:rPr>
      </w:pPr>
    </w:p>
    <w:p w14:paraId="1DC9D528" w14:textId="77777777" w:rsidR="00C07DEA" w:rsidRDefault="00C07DEA" w:rsidP="00816A2B">
      <w:pPr>
        <w:tabs>
          <w:tab w:val="left" w:pos="0"/>
        </w:tabs>
        <w:overflowPunct/>
        <w:autoSpaceDE/>
        <w:autoSpaceDN/>
        <w:adjustRightInd/>
        <w:spacing w:after="0" w:line="240" w:lineRule="auto"/>
        <w:jc w:val="both"/>
        <w:textAlignment w:val="auto"/>
        <w:rPr>
          <w:i/>
          <w:sz w:val="24"/>
          <w:szCs w:val="24"/>
        </w:rPr>
      </w:pPr>
    </w:p>
    <w:p w14:paraId="630326B6" w14:textId="77777777" w:rsidR="00C07DEA" w:rsidRDefault="00C07DEA" w:rsidP="00816A2B">
      <w:pPr>
        <w:tabs>
          <w:tab w:val="left" w:pos="0"/>
        </w:tabs>
        <w:overflowPunct/>
        <w:autoSpaceDE/>
        <w:autoSpaceDN/>
        <w:adjustRightInd/>
        <w:spacing w:after="0" w:line="240" w:lineRule="auto"/>
        <w:jc w:val="both"/>
        <w:textAlignment w:val="auto"/>
        <w:rPr>
          <w:i/>
          <w:sz w:val="24"/>
          <w:szCs w:val="24"/>
        </w:rPr>
      </w:pPr>
    </w:p>
    <w:p w14:paraId="0AF10364" w14:textId="77777777" w:rsidR="00C07DEA" w:rsidRDefault="00C07DEA" w:rsidP="00816A2B">
      <w:pPr>
        <w:tabs>
          <w:tab w:val="left" w:pos="0"/>
        </w:tabs>
        <w:overflowPunct/>
        <w:autoSpaceDE/>
        <w:autoSpaceDN/>
        <w:adjustRightInd/>
        <w:spacing w:after="0" w:line="240" w:lineRule="auto"/>
        <w:jc w:val="both"/>
        <w:textAlignment w:val="auto"/>
        <w:rPr>
          <w:i/>
          <w:sz w:val="24"/>
          <w:szCs w:val="24"/>
        </w:rPr>
      </w:pPr>
    </w:p>
    <w:p w14:paraId="5B1BBCB0" w14:textId="77777777" w:rsidR="00C07DEA" w:rsidRDefault="00C07DEA" w:rsidP="00816A2B">
      <w:pPr>
        <w:tabs>
          <w:tab w:val="left" w:pos="0"/>
        </w:tabs>
        <w:overflowPunct/>
        <w:autoSpaceDE/>
        <w:autoSpaceDN/>
        <w:adjustRightInd/>
        <w:spacing w:after="0" w:line="240" w:lineRule="auto"/>
        <w:jc w:val="both"/>
        <w:textAlignment w:val="auto"/>
        <w:rPr>
          <w:i/>
          <w:sz w:val="24"/>
          <w:szCs w:val="24"/>
        </w:rPr>
      </w:pPr>
    </w:p>
    <w:p w14:paraId="52228FF7" w14:textId="77777777" w:rsidR="00C07DEA" w:rsidRDefault="00C07DEA" w:rsidP="00816A2B">
      <w:pPr>
        <w:tabs>
          <w:tab w:val="left" w:pos="0"/>
        </w:tabs>
        <w:overflowPunct/>
        <w:autoSpaceDE/>
        <w:autoSpaceDN/>
        <w:adjustRightInd/>
        <w:spacing w:after="0" w:line="240" w:lineRule="auto"/>
        <w:jc w:val="both"/>
        <w:textAlignment w:val="auto"/>
        <w:rPr>
          <w:i/>
          <w:sz w:val="24"/>
          <w:szCs w:val="24"/>
        </w:rPr>
      </w:pPr>
    </w:p>
    <w:p w14:paraId="12F9E361" w14:textId="77777777" w:rsidR="00C07DEA" w:rsidRDefault="00C07DEA" w:rsidP="00816A2B">
      <w:pPr>
        <w:tabs>
          <w:tab w:val="left" w:pos="0"/>
        </w:tabs>
        <w:overflowPunct/>
        <w:autoSpaceDE/>
        <w:autoSpaceDN/>
        <w:adjustRightInd/>
        <w:spacing w:after="0" w:line="240" w:lineRule="auto"/>
        <w:jc w:val="both"/>
        <w:textAlignment w:val="auto"/>
        <w:rPr>
          <w:i/>
          <w:sz w:val="24"/>
          <w:szCs w:val="24"/>
        </w:rPr>
      </w:pPr>
    </w:p>
    <w:p w14:paraId="1794C241" w14:textId="77777777" w:rsidR="00C07DEA" w:rsidRDefault="00C07DEA" w:rsidP="00816A2B">
      <w:pPr>
        <w:tabs>
          <w:tab w:val="left" w:pos="0"/>
        </w:tabs>
        <w:overflowPunct/>
        <w:autoSpaceDE/>
        <w:autoSpaceDN/>
        <w:adjustRightInd/>
        <w:spacing w:after="0" w:line="240" w:lineRule="auto"/>
        <w:jc w:val="both"/>
        <w:textAlignment w:val="auto"/>
        <w:rPr>
          <w:i/>
          <w:sz w:val="24"/>
          <w:szCs w:val="24"/>
        </w:rPr>
      </w:pPr>
    </w:p>
    <w:p w14:paraId="40ECEC10" w14:textId="77777777" w:rsidR="00C07DEA" w:rsidRDefault="00C07DEA" w:rsidP="00816A2B">
      <w:pPr>
        <w:tabs>
          <w:tab w:val="left" w:pos="0"/>
        </w:tabs>
        <w:overflowPunct/>
        <w:autoSpaceDE/>
        <w:autoSpaceDN/>
        <w:adjustRightInd/>
        <w:spacing w:after="0" w:line="240" w:lineRule="auto"/>
        <w:jc w:val="both"/>
        <w:textAlignment w:val="auto"/>
        <w:rPr>
          <w:i/>
          <w:sz w:val="24"/>
          <w:szCs w:val="24"/>
        </w:rPr>
      </w:pPr>
    </w:p>
    <w:p w14:paraId="69C92916" w14:textId="77777777" w:rsidR="00C07DEA" w:rsidRDefault="00C07DEA" w:rsidP="00816A2B">
      <w:pPr>
        <w:tabs>
          <w:tab w:val="left" w:pos="0"/>
        </w:tabs>
        <w:overflowPunct/>
        <w:autoSpaceDE/>
        <w:autoSpaceDN/>
        <w:adjustRightInd/>
        <w:spacing w:after="0" w:line="240" w:lineRule="auto"/>
        <w:jc w:val="both"/>
        <w:textAlignment w:val="auto"/>
        <w:rPr>
          <w:i/>
          <w:sz w:val="24"/>
          <w:szCs w:val="24"/>
        </w:rPr>
      </w:pPr>
    </w:p>
    <w:p w14:paraId="653A1159" w14:textId="77777777" w:rsidR="00C07DEA" w:rsidRDefault="00C07DEA" w:rsidP="00816A2B">
      <w:pPr>
        <w:tabs>
          <w:tab w:val="left" w:pos="0"/>
        </w:tabs>
        <w:overflowPunct/>
        <w:autoSpaceDE/>
        <w:autoSpaceDN/>
        <w:adjustRightInd/>
        <w:spacing w:after="0" w:line="240" w:lineRule="auto"/>
        <w:jc w:val="both"/>
        <w:textAlignment w:val="auto"/>
        <w:rPr>
          <w:i/>
          <w:sz w:val="24"/>
          <w:szCs w:val="24"/>
        </w:rPr>
      </w:pPr>
    </w:p>
    <w:p w14:paraId="5C290158" w14:textId="77777777" w:rsidR="00C07DEA" w:rsidRDefault="00C07DEA" w:rsidP="00816A2B">
      <w:pPr>
        <w:tabs>
          <w:tab w:val="left" w:pos="0"/>
        </w:tabs>
        <w:overflowPunct/>
        <w:autoSpaceDE/>
        <w:autoSpaceDN/>
        <w:adjustRightInd/>
        <w:spacing w:after="0" w:line="240" w:lineRule="auto"/>
        <w:jc w:val="both"/>
        <w:textAlignment w:val="auto"/>
        <w:rPr>
          <w:i/>
          <w:sz w:val="24"/>
          <w:szCs w:val="24"/>
        </w:rPr>
      </w:pPr>
    </w:p>
    <w:p w14:paraId="2C257D83" w14:textId="77777777" w:rsidR="00C07DEA" w:rsidRDefault="00C07DEA" w:rsidP="00816A2B">
      <w:pPr>
        <w:tabs>
          <w:tab w:val="left" w:pos="0"/>
        </w:tabs>
        <w:overflowPunct/>
        <w:autoSpaceDE/>
        <w:autoSpaceDN/>
        <w:adjustRightInd/>
        <w:spacing w:after="0" w:line="240" w:lineRule="auto"/>
        <w:jc w:val="both"/>
        <w:textAlignment w:val="auto"/>
        <w:rPr>
          <w:i/>
          <w:sz w:val="24"/>
          <w:szCs w:val="24"/>
        </w:rPr>
      </w:pPr>
    </w:p>
    <w:p w14:paraId="354CDDB0" w14:textId="77777777" w:rsidR="00C07DEA" w:rsidRDefault="00C07DEA" w:rsidP="00816A2B">
      <w:pPr>
        <w:tabs>
          <w:tab w:val="left" w:pos="0"/>
        </w:tabs>
        <w:overflowPunct/>
        <w:autoSpaceDE/>
        <w:autoSpaceDN/>
        <w:adjustRightInd/>
        <w:spacing w:after="0" w:line="240" w:lineRule="auto"/>
        <w:jc w:val="both"/>
        <w:textAlignment w:val="auto"/>
        <w:rPr>
          <w:i/>
          <w:sz w:val="24"/>
          <w:szCs w:val="24"/>
        </w:rPr>
      </w:pPr>
    </w:p>
    <w:p w14:paraId="60E16D45" w14:textId="77777777" w:rsidR="00C07DEA" w:rsidRDefault="00C07DEA" w:rsidP="00816A2B">
      <w:pPr>
        <w:tabs>
          <w:tab w:val="left" w:pos="0"/>
        </w:tabs>
        <w:overflowPunct/>
        <w:autoSpaceDE/>
        <w:autoSpaceDN/>
        <w:adjustRightInd/>
        <w:spacing w:after="0" w:line="240" w:lineRule="auto"/>
        <w:jc w:val="both"/>
        <w:textAlignment w:val="auto"/>
        <w:rPr>
          <w:i/>
          <w:sz w:val="24"/>
          <w:szCs w:val="24"/>
        </w:rPr>
      </w:pPr>
    </w:p>
    <w:p w14:paraId="4329E315" w14:textId="77777777" w:rsidR="00C07DEA" w:rsidRDefault="00C07DEA" w:rsidP="00816A2B">
      <w:pPr>
        <w:tabs>
          <w:tab w:val="left" w:pos="0"/>
        </w:tabs>
        <w:overflowPunct/>
        <w:autoSpaceDE/>
        <w:autoSpaceDN/>
        <w:adjustRightInd/>
        <w:spacing w:after="0" w:line="240" w:lineRule="auto"/>
        <w:jc w:val="both"/>
        <w:textAlignment w:val="auto"/>
        <w:rPr>
          <w:i/>
          <w:sz w:val="24"/>
          <w:szCs w:val="24"/>
        </w:rPr>
      </w:pPr>
    </w:p>
    <w:p w14:paraId="38F96F80" w14:textId="77777777" w:rsidR="00C07DEA" w:rsidRDefault="00C07DEA" w:rsidP="00816A2B">
      <w:pPr>
        <w:tabs>
          <w:tab w:val="left" w:pos="0"/>
        </w:tabs>
        <w:overflowPunct/>
        <w:autoSpaceDE/>
        <w:autoSpaceDN/>
        <w:adjustRightInd/>
        <w:spacing w:after="0" w:line="240" w:lineRule="auto"/>
        <w:jc w:val="both"/>
        <w:textAlignment w:val="auto"/>
        <w:rPr>
          <w:i/>
          <w:sz w:val="24"/>
          <w:szCs w:val="24"/>
        </w:rPr>
      </w:pPr>
    </w:p>
    <w:p w14:paraId="5437574B" w14:textId="77777777" w:rsidR="00C07DEA" w:rsidRDefault="00C07DEA" w:rsidP="00816A2B">
      <w:pPr>
        <w:tabs>
          <w:tab w:val="left" w:pos="0"/>
        </w:tabs>
        <w:overflowPunct/>
        <w:autoSpaceDE/>
        <w:autoSpaceDN/>
        <w:adjustRightInd/>
        <w:spacing w:after="0" w:line="240" w:lineRule="auto"/>
        <w:jc w:val="both"/>
        <w:textAlignment w:val="auto"/>
        <w:rPr>
          <w:i/>
          <w:sz w:val="24"/>
          <w:szCs w:val="24"/>
        </w:rPr>
      </w:pPr>
    </w:p>
    <w:p w14:paraId="6A1CB142" w14:textId="77777777" w:rsidR="00C07DEA" w:rsidRDefault="00C07DEA" w:rsidP="00816A2B">
      <w:pPr>
        <w:tabs>
          <w:tab w:val="left" w:pos="0"/>
        </w:tabs>
        <w:overflowPunct/>
        <w:autoSpaceDE/>
        <w:autoSpaceDN/>
        <w:adjustRightInd/>
        <w:spacing w:after="0" w:line="240" w:lineRule="auto"/>
        <w:jc w:val="both"/>
        <w:textAlignment w:val="auto"/>
        <w:rPr>
          <w:i/>
          <w:sz w:val="24"/>
          <w:szCs w:val="24"/>
        </w:rPr>
      </w:pPr>
    </w:p>
    <w:p w14:paraId="44734870" w14:textId="1BCDF457" w:rsidR="00706019" w:rsidRPr="00FD48F4" w:rsidRDefault="00932365" w:rsidP="00101CE2">
      <w:pPr>
        <w:pStyle w:val="Nadpis1"/>
        <w:numPr>
          <w:ilvl w:val="0"/>
          <w:numId w:val="24"/>
        </w:numPr>
        <w:ind w:left="567" w:hanging="425"/>
        <w:jc w:val="both"/>
        <w:rPr>
          <w:rFonts w:asciiTheme="majorHAnsi" w:hAnsiTheme="majorHAnsi"/>
          <w:b w:val="0"/>
          <w:sz w:val="32"/>
          <w:szCs w:val="32"/>
        </w:rPr>
      </w:pPr>
      <w:bookmarkStart w:id="5" w:name="_Toc476517919"/>
      <w:r w:rsidRPr="00FD48F4">
        <w:rPr>
          <w:rFonts w:asciiTheme="majorHAnsi" w:hAnsiTheme="majorHAnsi"/>
          <w:sz w:val="32"/>
          <w:szCs w:val="32"/>
        </w:rPr>
        <w:t>Podrobnější p</w:t>
      </w:r>
      <w:r w:rsidR="00706019" w:rsidRPr="00FD48F4">
        <w:rPr>
          <w:rFonts w:asciiTheme="majorHAnsi" w:hAnsiTheme="majorHAnsi"/>
          <w:sz w:val="32"/>
          <w:szCs w:val="32"/>
        </w:rPr>
        <w:t>opis závazku</w:t>
      </w:r>
      <w:r w:rsidR="00E018CC" w:rsidRPr="00FD48F4">
        <w:rPr>
          <w:rFonts w:asciiTheme="majorHAnsi" w:hAnsiTheme="majorHAnsi"/>
          <w:sz w:val="32"/>
          <w:szCs w:val="32"/>
        </w:rPr>
        <w:t xml:space="preserve"> </w:t>
      </w:r>
      <w:r w:rsidR="00A8142D">
        <w:rPr>
          <w:rFonts w:asciiTheme="majorHAnsi" w:hAnsiTheme="majorHAnsi"/>
          <w:sz w:val="32"/>
          <w:szCs w:val="32"/>
        </w:rPr>
        <w:t xml:space="preserve">pro </w:t>
      </w:r>
      <w:r w:rsidR="00E018CC" w:rsidRPr="00FD48F4">
        <w:rPr>
          <w:rFonts w:asciiTheme="majorHAnsi" w:hAnsiTheme="majorHAnsi"/>
          <w:sz w:val="32"/>
          <w:szCs w:val="32"/>
        </w:rPr>
        <w:t>ČR</w:t>
      </w:r>
      <w:r w:rsidR="00A8142D">
        <w:rPr>
          <w:rFonts w:asciiTheme="majorHAnsi" w:hAnsiTheme="majorHAnsi"/>
          <w:sz w:val="32"/>
          <w:szCs w:val="32"/>
        </w:rPr>
        <w:t xml:space="preserve"> k mechanismu </w:t>
      </w:r>
      <w:r w:rsidR="00777AA3">
        <w:rPr>
          <w:rFonts w:asciiTheme="majorHAnsi" w:hAnsiTheme="majorHAnsi"/>
          <w:sz w:val="32"/>
          <w:szCs w:val="32"/>
        </w:rPr>
        <w:t xml:space="preserve">kontroly přiměřenosti </w:t>
      </w:r>
      <w:r w:rsidR="00A8142D" w:rsidRPr="00FD48F4">
        <w:rPr>
          <w:rFonts w:asciiTheme="majorHAnsi" w:hAnsiTheme="majorHAnsi"/>
          <w:sz w:val="32"/>
          <w:szCs w:val="32"/>
        </w:rPr>
        <w:t xml:space="preserve"> </w:t>
      </w:r>
      <w:r w:rsidRPr="00FD48F4">
        <w:rPr>
          <w:rFonts w:asciiTheme="majorHAnsi" w:hAnsiTheme="majorHAnsi"/>
          <w:sz w:val="32"/>
          <w:szCs w:val="32"/>
        </w:rPr>
        <w:t>podpory</w:t>
      </w:r>
      <w:bookmarkEnd w:id="5"/>
    </w:p>
    <w:p w14:paraId="6E93A397" w14:textId="755E23B2" w:rsidR="00AC7537" w:rsidRPr="0053674C" w:rsidRDefault="001D0305" w:rsidP="004713EF">
      <w:pPr>
        <w:pStyle w:val="slovanseznam"/>
        <w:numPr>
          <w:ilvl w:val="0"/>
          <w:numId w:val="0"/>
        </w:numPr>
        <w:tabs>
          <w:tab w:val="clear" w:pos="851"/>
          <w:tab w:val="left" w:pos="142"/>
          <w:tab w:val="left" w:pos="708"/>
        </w:tabs>
        <w:spacing w:before="100" w:beforeAutospacing="1" w:after="100" w:afterAutospacing="1" w:line="276" w:lineRule="auto"/>
        <w:ind w:left="142"/>
        <w:rPr>
          <w:rFonts w:asciiTheme="minorHAnsi" w:hAnsiTheme="minorHAnsi"/>
          <w:szCs w:val="24"/>
          <w:lang w:val="cs-CZ"/>
        </w:rPr>
      </w:pPr>
      <w:r>
        <w:rPr>
          <w:rFonts w:asciiTheme="minorHAnsi" w:hAnsiTheme="minorHAnsi"/>
          <w:szCs w:val="24"/>
          <w:lang w:val="cs-CZ"/>
        </w:rPr>
        <w:t>Cílem z</w:t>
      </w:r>
      <w:r w:rsidR="00AC7537" w:rsidRPr="00596C08">
        <w:rPr>
          <w:rFonts w:asciiTheme="minorHAnsi" w:hAnsiTheme="minorHAnsi"/>
          <w:szCs w:val="24"/>
          <w:lang w:val="cs-CZ"/>
        </w:rPr>
        <w:t>ávazk</w:t>
      </w:r>
      <w:r>
        <w:rPr>
          <w:rFonts w:asciiTheme="minorHAnsi" w:hAnsiTheme="minorHAnsi"/>
          <w:szCs w:val="24"/>
          <w:lang w:val="cs-CZ"/>
        </w:rPr>
        <w:t>u na</w:t>
      </w:r>
      <w:r w:rsidR="00AC7537" w:rsidRPr="00596C08">
        <w:rPr>
          <w:rFonts w:asciiTheme="minorHAnsi" w:hAnsiTheme="minorHAnsi"/>
          <w:szCs w:val="24"/>
          <w:lang w:val="cs-CZ"/>
        </w:rPr>
        <w:t xml:space="preserve"> zavedení mechanismu</w:t>
      </w:r>
      <w:r w:rsidR="00777AA3">
        <w:rPr>
          <w:rFonts w:asciiTheme="minorHAnsi" w:hAnsiTheme="minorHAnsi"/>
          <w:szCs w:val="24"/>
          <w:lang w:val="cs-CZ"/>
        </w:rPr>
        <w:t xml:space="preserve"> kontroly přiměřenosti podpory</w:t>
      </w:r>
      <w:r w:rsidR="00AC7537" w:rsidRPr="00596C08">
        <w:rPr>
          <w:rFonts w:asciiTheme="minorHAnsi" w:hAnsiTheme="minorHAnsi"/>
          <w:szCs w:val="24"/>
          <w:lang w:val="cs-CZ"/>
        </w:rPr>
        <w:t xml:space="preserve">, je </w:t>
      </w:r>
      <w:r>
        <w:rPr>
          <w:rFonts w:asciiTheme="minorHAnsi" w:hAnsiTheme="minorHAnsi"/>
          <w:szCs w:val="24"/>
          <w:lang w:val="cs-CZ"/>
        </w:rPr>
        <w:t>zjištění zda nedochází při poskytování podpory k možné překompenzaci podpory, a v případě, že ano, pak aplikace vhodných (definovaných) opatření na eliminaci překompenzace podpory</w:t>
      </w:r>
      <w:r w:rsidR="00AC7537" w:rsidRPr="0053674C">
        <w:rPr>
          <w:rFonts w:asciiTheme="minorHAnsi" w:hAnsiTheme="minorHAnsi"/>
          <w:szCs w:val="24"/>
          <w:lang w:val="cs-CZ"/>
        </w:rPr>
        <w:t>.</w:t>
      </w:r>
    </w:p>
    <w:p w14:paraId="2DB899C0" w14:textId="1B0910F4" w:rsidR="00AC7537" w:rsidRPr="0053674C" w:rsidRDefault="001D0305" w:rsidP="004713EF">
      <w:pPr>
        <w:pStyle w:val="slovanseznam"/>
        <w:numPr>
          <w:ilvl w:val="0"/>
          <w:numId w:val="0"/>
        </w:numPr>
        <w:tabs>
          <w:tab w:val="clear" w:pos="851"/>
          <w:tab w:val="left" w:pos="142"/>
          <w:tab w:val="left" w:pos="708"/>
        </w:tabs>
        <w:spacing w:before="100" w:beforeAutospacing="1" w:after="100" w:afterAutospacing="1" w:line="276" w:lineRule="auto"/>
        <w:ind w:left="142"/>
        <w:rPr>
          <w:rFonts w:asciiTheme="minorHAnsi" w:hAnsiTheme="minorHAnsi"/>
          <w:szCs w:val="24"/>
          <w:lang w:val="cs-CZ"/>
        </w:rPr>
      </w:pPr>
      <w:r>
        <w:rPr>
          <w:rFonts w:asciiTheme="minorHAnsi" w:hAnsiTheme="minorHAnsi"/>
          <w:szCs w:val="24"/>
          <w:lang w:val="cs-CZ"/>
        </w:rPr>
        <w:t>Pře</w:t>
      </w:r>
      <w:r w:rsidR="00AC7537" w:rsidRPr="0053674C">
        <w:rPr>
          <w:rFonts w:asciiTheme="minorHAnsi" w:hAnsiTheme="minorHAnsi"/>
          <w:szCs w:val="24"/>
          <w:lang w:val="cs-CZ"/>
        </w:rPr>
        <w:t xml:space="preserve">kompenzace podpory může/mohla vzniknout </w:t>
      </w:r>
      <w:r w:rsidR="00AC7537" w:rsidRPr="0053674C">
        <w:rPr>
          <w:rFonts w:asciiTheme="minorHAnsi" w:hAnsiTheme="minorHAnsi"/>
          <w:szCs w:val="24"/>
        </w:rPr>
        <w:t xml:space="preserve">na základě kumulace podpory </w:t>
      </w:r>
      <w:r w:rsidR="00596C08" w:rsidRPr="0053674C">
        <w:rPr>
          <w:rFonts w:asciiTheme="minorHAnsi" w:hAnsiTheme="minorHAnsi"/>
          <w:szCs w:val="24"/>
        </w:rPr>
        <w:t xml:space="preserve">(investiční nebo jiné provozní) </w:t>
      </w:r>
      <w:r w:rsidR="00AC7537" w:rsidRPr="0053674C">
        <w:rPr>
          <w:rFonts w:asciiTheme="minorHAnsi" w:hAnsiTheme="minorHAnsi"/>
          <w:szCs w:val="24"/>
        </w:rPr>
        <w:t>nebo nadhodnocení kterékoli z nákladových položek, které jsou při výpočtu výše podpory zohledňovány.</w:t>
      </w:r>
    </w:p>
    <w:p w14:paraId="7C4B7BD4" w14:textId="59AF3B0E" w:rsidR="003B3DC6" w:rsidRPr="003B3DC6" w:rsidRDefault="001D0305" w:rsidP="004713EF">
      <w:pPr>
        <w:pStyle w:val="slovanseznam"/>
        <w:numPr>
          <w:ilvl w:val="0"/>
          <w:numId w:val="0"/>
        </w:numPr>
        <w:tabs>
          <w:tab w:val="clear" w:pos="851"/>
          <w:tab w:val="left" w:pos="142"/>
          <w:tab w:val="left" w:pos="708"/>
        </w:tabs>
        <w:spacing w:before="100" w:beforeAutospacing="1" w:after="100" w:afterAutospacing="1" w:line="276" w:lineRule="auto"/>
        <w:ind w:left="142"/>
        <w:rPr>
          <w:rFonts w:asciiTheme="minorHAnsi" w:hAnsiTheme="minorHAnsi"/>
          <w:szCs w:val="24"/>
          <w:lang w:val="cs-CZ"/>
        </w:rPr>
      </w:pPr>
      <w:r>
        <w:rPr>
          <w:rFonts w:asciiTheme="minorHAnsi" w:hAnsiTheme="minorHAnsi"/>
          <w:b/>
          <w:szCs w:val="24"/>
        </w:rPr>
        <w:t>Pře</w:t>
      </w:r>
      <w:r w:rsidR="00AC7537" w:rsidRPr="00FD48F4">
        <w:rPr>
          <w:rFonts w:asciiTheme="minorHAnsi" w:hAnsiTheme="minorHAnsi"/>
          <w:b/>
          <w:szCs w:val="24"/>
        </w:rPr>
        <w:t xml:space="preserve">kompenzace </w:t>
      </w:r>
      <w:r>
        <w:rPr>
          <w:rFonts w:asciiTheme="minorHAnsi" w:hAnsiTheme="minorHAnsi"/>
          <w:b/>
          <w:szCs w:val="24"/>
        </w:rPr>
        <w:t xml:space="preserve">podpory </w:t>
      </w:r>
      <w:r w:rsidR="00AC7537" w:rsidRPr="00FD48F4">
        <w:rPr>
          <w:rFonts w:asciiTheme="minorHAnsi" w:hAnsiTheme="minorHAnsi"/>
          <w:b/>
          <w:szCs w:val="24"/>
        </w:rPr>
        <w:t xml:space="preserve">je vymezena tak, že se jedná o nabytí výnosů v takové celkové výši, která by vyústila v návratnost </w:t>
      </w:r>
      <w:r w:rsidR="005B4348" w:rsidRPr="00FD48F4">
        <w:rPr>
          <w:rFonts w:asciiTheme="minorHAnsi" w:hAnsiTheme="minorHAnsi"/>
          <w:b/>
          <w:szCs w:val="24"/>
        </w:rPr>
        <w:t xml:space="preserve">investic </w:t>
      </w:r>
      <w:r w:rsidR="00AC7537" w:rsidRPr="00FD48F4">
        <w:rPr>
          <w:rFonts w:asciiTheme="minorHAnsi" w:hAnsiTheme="minorHAnsi"/>
          <w:b/>
          <w:szCs w:val="24"/>
        </w:rPr>
        <w:t>překračující přípustný rozsah stanovený v tabulce</w:t>
      </w:r>
      <w:r w:rsidR="005B4348" w:rsidRPr="00FD48F4">
        <w:rPr>
          <w:rFonts w:asciiTheme="minorHAnsi" w:hAnsiTheme="minorHAnsi"/>
          <w:b/>
          <w:szCs w:val="24"/>
        </w:rPr>
        <w:t xml:space="preserve"> </w:t>
      </w:r>
      <w:r w:rsidR="00F41CD1" w:rsidRPr="00FD48F4">
        <w:rPr>
          <w:rFonts w:asciiTheme="minorHAnsi" w:hAnsiTheme="minorHAnsi"/>
          <w:b/>
          <w:szCs w:val="24"/>
        </w:rPr>
        <w:t xml:space="preserve">č. 3 </w:t>
      </w:r>
      <w:r w:rsidR="005B4348" w:rsidRPr="00FD48F4">
        <w:rPr>
          <w:rFonts w:asciiTheme="minorHAnsi" w:hAnsiTheme="minorHAnsi"/>
          <w:b/>
          <w:szCs w:val="24"/>
        </w:rPr>
        <w:t xml:space="preserve">rozhodnutí </w:t>
      </w:r>
      <w:r w:rsidR="00BD4871">
        <w:rPr>
          <w:rFonts w:asciiTheme="minorHAnsi" w:hAnsiTheme="minorHAnsi"/>
          <w:b/>
          <w:szCs w:val="24"/>
        </w:rPr>
        <w:t xml:space="preserve">Evropské komise </w:t>
      </w:r>
      <w:r w:rsidR="005B4348" w:rsidRPr="00FD48F4">
        <w:rPr>
          <w:rFonts w:asciiTheme="minorHAnsi" w:hAnsiTheme="minorHAnsi"/>
          <w:b/>
          <w:szCs w:val="24"/>
        </w:rPr>
        <w:t>jako maximální hodnoty vnitřního výnosového procenta investic (IRR)</w:t>
      </w:r>
      <w:r>
        <w:rPr>
          <w:rFonts w:asciiTheme="minorHAnsi" w:hAnsiTheme="minorHAnsi"/>
          <w:b/>
          <w:szCs w:val="24"/>
        </w:rPr>
        <w:t>, kde</w:t>
      </w:r>
      <w:r w:rsidR="00AD7386">
        <w:rPr>
          <w:rFonts w:asciiTheme="minorHAnsi" w:hAnsiTheme="minorHAnsi"/>
          <w:szCs w:val="24"/>
        </w:rPr>
        <w:t xml:space="preserve"> pro</w:t>
      </w:r>
      <w:r w:rsidR="0055018B">
        <w:rPr>
          <w:rFonts w:asciiTheme="minorHAnsi" w:hAnsiTheme="minorHAnsi"/>
          <w:szCs w:val="24"/>
        </w:rPr>
        <w:t xml:space="preserve"> </w:t>
      </w:r>
    </w:p>
    <w:p w14:paraId="76DA5CEA" w14:textId="77777777" w:rsidR="003B3DC6" w:rsidRPr="003B3DC6" w:rsidRDefault="003B3DC6" w:rsidP="004713EF">
      <w:pPr>
        <w:pStyle w:val="slovanseznam"/>
        <w:numPr>
          <w:ilvl w:val="0"/>
          <w:numId w:val="0"/>
        </w:numPr>
        <w:tabs>
          <w:tab w:val="left" w:pos="708"/>
        </w:tabs>
        <w:spacing w:before="100" w:beforeAutospacing="1" w:after="100" w:afterAutospacing="1"/>
        <w:ind w:left="851" w:hanging="142"/>
        <w:rPr>
          <w:rFonts w:asciiTheme="minorHAnsi" w:hAnsiTheme="minorHAnsi"/>
          <w:i/>
        </w:rPr>
      </w:pPr>
      <w:r w:rsidRPr="003B3DC6">
        <w:rPr>
          <w:rFonts w:asciiTheme="minorHAnsi" w:hAnsiTheme="minorHAnsi"/>
          <w:i/>
          <w:szCs w:val="24"/>
        </w:rPr>
        <w:t xml:space="preserve">a)  </w:t>
      </w:r>
      <w:r w:rsidR="0055018B" w:rsidRPr="003B3DC6">
        <w:rPr>
          <w:rFonts w:asciiTheme="minorHAnsi" w:hAnsiTheme="minorHAnsi"/>
          <w:i/>
        </w:rPr>
        <w:t xml:space="preserve">výrobny elektřiny z bioplynu </w:t>
      </w:r>
      <w:r w:rsidR="00F41CD1" w:rsidRPr="003B3DC6">
        <w:rPr>
          <w:rFonts w:asciiTheme="minorHAnsi" w:hAnsiTheme="minorHAnsi"/>
          <w:i/>
        </w:rPr>
        <w:t xml:space="preserve">je uvedena maximální hodnota IRR ve výši </w:t>
      </w:r>
      <w:r w:rsidR="0055018B" w:rsidRPr="003B3DC6">
        <w:rPr>
          <w:rFonts w:asciiTheme="minorHAnsi" w:hAnsiTheme="minorHAnsi"/>
          <w:i/>
        </w:rPr>
        <w:t>10,6 %</w:t>
      </w:r>
    </w:p>
    <w:p w14:paraId="322B623D" w14:textId="77777777" w:rsidR="003B3DC6" w:rsidRPr="003B3DC6" w:rsidRDefault="003B3DC6" w:rsidP="004713EF">
      <w:pPr>
        <w:pStyle w:val="slovanseznam"/>
        <w:numPr>
          <w:ilvl w:val="0"/>
          <w:numId w:val="0"/>
        </w:numPr>
        <w:tabs>
          <w:tab w:val="left" w:pos="708"/>
        </w:tabs>
        <w:spacing w:before="100" w:beforeAutospacing="1" w:after="100" w:afterAutospacing="1"/>
        <w:ind w:left="720"/>
        <w:rPr>
          <w:rFonts w:asciiTheme="minorHAnsi" w:hAnsiTheme="minorHAnsi"/>
          <w:i/>
          <w:szCs w:val="24"/>
        </w:rPr>
      </w:pPr>
      <w:r w:rsidRPr="003B3DC6">
        <w:rPr>
          <w:rFonts w:asciiTheme="minorHAnsi" w:hAnsiTheme="minorHAnsi"/>
          <w:i/>
          <w:szCs w:val="24"/>
        </w:rPr>
        <w:t>b)  výrobny elektřiny z biomasy je uvedena maximální hodnota IRR ve výši 9,5 %,</w:t>
      </w:r>
    </w:p>
    <w:p w14:paraId="456480EC" w14:textId="77777777" w:rsidR="003B3DC6" w:rsidRPr="003B3DC6" w:rsidRDefault="003B3DC6" w:rsidP="004713EF">
      <w:pPr>
        <w:pStyle w:val="slovanseznam"/>
        <w:numPr>
          <w:ilvl w:val="0"/>
          <w:numId w:val="0"/>
        </w:numPr>
        <w:tabs>
          <w:tab w:val="left" w:pos="708"/>
        </w:tabs>
        <w:spacing w:before="100" w:beforeAutospacing="1" w:after="100" w:afterAutospacing="1"/>
        <w:ind w:left="720"/>
        <w:rPr>
          <w:rFonts w:asciiTheme="minorHAnsi" w:hAnsiTheme="minorHAnsi"/>
          <w:i/>
          <w:szCs w:val="24"/>
        </w:rPr>
      </w:pPr>
      <w:r w:rsidRPr="003B3DC6">
        <w:rPr>
          <w:rFonts w:asciiTheme="minorHAnsi" w:hAnsiTheme="minorHAnsi"/>
          <w:i/>
          <w:szCs w:val="24"/>
        </w:rPr>
        <w:t xml:space="preserve">c)  </w:t>
      </w:r>
      <w:r>
        <w:rPr>
          <w:rFonts w:asciiTheme="minorHAnsi" w:hAnsiTheme="minorHAnsi"/>
          <w:i/>
          <w:szCs w:val="24"/>
        </w:rPr>
        <w:t xml:space="preserve">solární elektrárny </w:t>
      </w:r>
      <w:r w:rsidRPr="003B3DC6">
        <w:rPr>
          <w:rFonts w:asciiTheme="minorHAnsi" w:hAnsiTheme="minorHAnsi"/>
          <w:i/>
          <w:szCs w:val="24"/>
        </w:rPr>
        <w:t xml:space="preserve"> je uvedena </w:t>
      </w:r>
      <w:r>
        <w:rPr>
          <w:rFonts w:asciiTheme="minorHAnsi" w:hAnsiTheme="minorHAnsi"/>
          <w:i/>
          <w:szCs w:val="24"/>
        </w:rPr>
        <w:t>maximální hodnota IRR ve výši 8,4</w:t>
      </w:r>
      <w:r w:rsidRPr="003B3DC6">
        <w:rPr>
          <w:rFonts w:asciiTheme="minorHAnsi" w:hAnsiTheme="minorHAnsi"/>
          <w:i/>
          <w:szCs w:val="24"/>
        </w:rPr>
        <w:t xml:space="preserve"> %, </w:t>
      </w:r>
    </w:p>
    <w:p w14:paraId="3BB2B181" w14:textId="77777777" w:rsidR="00AC7537" w:rsidRDefault="003B3DC6" w:rsidP="004713EF">
      <w:pPr>
        <w:pStyle w:val="slovanseznam"/>
        <w:numPr>
          <w:ilvl w:val="0"/>
          <w:numId w:val="0"/>
        </w:numPr>
        <w:tabs>
          <w:tab w:val="left" w:pos="708"/>
        </w:tabs>
        <w:spacing w:before="100" w:beforeAutospacing="1" w:after="100" w:afterAutospacing="1"/>
        <w:ind w:left="720"/>
        <w:rPr>
          <w:rFonts w:asciiTheme="minorHAnsi" w:hAnsiTheme="minorHAnsi"/>
          <w:i/>
        </w:rPr>
      </w:pPr>
      <w:r w:rsidRPr="003B3DC6">
        <w:rPr>
          <w:rFonts w:asciiTheme="minorHAnsi" w:hAnsiTheme="minorHAnsi"/>
          <w:i/>
        </w:rPr>
        <w:t>d)</w:t>
      </w:r>
      <w:r>
        <w:rPr>
          <w:rFonts w:asciiTheme="minorHAnsi" w:hAnsiTheme="minorHAnsi"/>
          <w:i/>
        </w:rPr>
        <w:t xml:space="preserve"> male vodní elektrárny </w:t>
      </w:r>
      <w:r w:rsidR="00F41CD1" w:rsidRPr="003B3DC6">
        <w:rPr>
          <w:rFonts w:asciiTheme="minorHAnsi" w:hAnsiTheme="minorHAnsi"/>
          <w:i/>
        </w:rPr>
        <w:t xml:space="preserve">je uvedena maximální hodnota IRR ve výši </w:t>
      </w:r>
      <w:r w:rsidR="0055018B" w:rsidRPr="003B3DC6">
        <w:rPr>
          <w:rFonts w:asciiTheme="minorHAnsi" w:hAnsiTheme="minorHAnsi"/>
          <w:i/>
        </w:rPr>
        <w:t>7 %</w:t>
      </w:r>
      <w:r>
        <w:rPr>
          <w:rFonts w:asciiTheme="minorHAnsi" w:hAnsiTheme="minorHAnsi"/>
          <w:i/>
        </w:rPr>
        <w:t>,</w:t>
      </w:r>
    </w:p>
    <w:p w14:paraId="51507E8D" w14:textId="77777777" w:rsidR="00843D80" w:rsidRDefault="003B3DC6" w:rsidP="004713EF">
      <w:pPr>
        <w:pStyle w:val="slovanseznam"/>
        <w:numPr>
          <w:ilvl w:val="0"/>
          <w:numId w:val="0"/>
        </w:numPr>
        <w:tabs>
          <w:tab w:val="left" w:pos="708"/>
        </w:tabs>
        <w:spacing w:before="100" w:beforeAutospacing="1" w:after="100" w:afterAutospacing="1"/>
        <w:ind w:left="720"/>
        <w:rPr>
          <w:rFonts w:asciiTheme="minorHAnsi" w:hAnsiTheme="minorHAnsi"/>
          <w:i/>
        </w:rPr>
      </w:pPr>
      <w:r>
        <w:rPr>
          <w:rFonts w:asciiTheme="minorHAnsi" w:hAnsiTheme="minorHAnsi"/>
          <w:i/>
        </w:rPr>
        <w:t>e</w:t>
      </w:r>
      <w:r w:rsidRPr="003B3DC6">
        <w:rPr>
          <w:rFonts w:asciiTheme="minorHAnsi" w:hAnsiTheme="minorHAnsi"/>
          <w:i/>
        </w:rPr>
        <w:t>)</w:t>
      </w:r>
      <w:r>
        <w:rPr>
          <w:rFonts w:asciiTheme="minorHAnsi" w:hAnsiTheme="minorHAnsi"/>
          <w:i/>
        </w:rPr>
        <w:t xml:space="preserve"> větrné elektrárny </w:t>
      </w:r>
      <w:r w:rsidRPr="003B3DC6">
        <w:rPr>
          <w:rFonts w:asciiTheme="minorHAnsi" w:hAnsiTheme="minorHAnsi"/>
          <w:i/>
        </w:rPr>
        <w:t>je uvedena maximální hodnota IRR ve výši 7 %</w:t>
      </w:r>
      <w:r w:rsidR="00843D80">
        <w:rPr>
          <w:rFonts w:asciiTheme="minorHAnsi" w:hAnsiTheme="minorHAnsi"/>
          <w:i/>
        </w:rPr>
        <w:t>,</w:t>
      </w:r>
    </w:p>
    <w:p w14:paraId="271BC587" w14:textId="2A3D38F4" w:rsidR="00101CE2" w:rsidRPr="00C07DEA" w:rsidRDefault="00101CE2" w:rsidP="004713EF">
      <w:pPr>
        <w:tabs>
          <w:tab w:val="left" w:pos="0"/>
        </w:tabs>
        <w:overflowPunct/>
        <w:autoSpaceDE/>
        <w:autoSpaceDN/>
        <w:adjustRightInd/>
        <w:spacing w:before="100" w:beforeAutospacing="1" w:after="100" w:afterAutospacing="1" w:line="276" w:lineRule="auto"/>
        <w:jc w:val="both"/>
        <w:textAlignment w:val="auto"/>
        <w:rPr>
          <w:i/>
          <w:sz w:val="24"/>
          <w:szCs w:val="24"/>
        </w:rPr>
      </w:pPr>
      <w:r w:rsidRPr="00803792">
        <w:rPr>
          <w:b/>
          <w:sz w:val="24"/>
          <w:szCs w:val="24"/>
        </w:rPr>
        <w:t xml:space="preserve">Uvedené hodnoty </w:t>
      </w:r>
      <w:r w:rsidR="00803792">
        <w:rPr>
          <w:b/>
          <w:sz w:val="24"/>
          <w:szCs w:val="24"/>
        </w:rPr>
        <w:t xml:space="preserve">vnitřního výnosového procenta </w:t>
      </w:r>
      <w:r w:rsidRPr="00803792">
        <w:rPr>
          <w:b/>
          <w:sz w:val="24"/>
          <w:szCs w:val="24"/>
        </w:rPr>
        <w:t>IRR v rozhodnutí Evropské komise u daného druhu OZE by měly být aplikovány pro všechny zdroje bez rozdílu data uvedení výroben elektřiny do provozu, tedy na všechny výrobny elektřiny uvedené do provozu v období od 1. ledna 2006 až 31. prosince 2012.</w:t>
      </w:r>
      <w:r w:rsidRPr="00C07DEA">
        <w:rPr>
          <w:i/>
          <w:sz w:val="24"/>
          <w:szCs w:val="24"/>
        </w:rPr>
        <w:t xml:space="preserve"> </w:t>
      </w:r>
      <w:r w:rsidR="00CE0367" w:rsidRPr="00C07DEA">
        <w:rPr>
          <w:i/>
          <w:sz w:val="24"/>
          <w:szCs w:val="24"/>
        </w:rPr>
        <w:t xml:space="preserve">(poznámka: </w:t>
      </w:r>
      <w:r w:rsidR="00CE0367">
        <w:rPr>
          <w:i/>
          <w:sz w:val="24"/>
          <w:szCs w:val="24"/>
        </w:rPr>
        <w:t>P</w:t>
      </w:r>
      <w:r w:rsidR="00CE0367" w:rsidRPr="00C07DEA">
        <w:rPr>
          <w:i/>
          <w:sz w:val="24"/>
          <w:szCs w:val="24"/>
        </w:rPr>
        <w:t xml:space="preserve">odle nastaveného mechanismu kontroly přiměřenosti podpory </w:t>
      </w:r>
      <w:r w:rsidR="00CE0367">
        <w:rPr>
          <w:i/>
          <w:sz w:val="24"/>
          <w:szCs w:val="24"/>
        </w:rPr>
        <w:t xml:space="preserve">v tomto materiálu </w:t>
      </w:r>
      <w:r w:rsidR="00CE0367" w:rsidRPr="00C07DEA">
        <w:rPr>
          <w:i/>
          <w:sz w:val="24"/>
          <w:szCs w:val="24"/>
        </w:rPr>
        <w:t xml:space="preserve">by </w:t>
      </w:r>
      <w:r w:rsidR="00CE0367">
        <w:rPr>
          <w:i/>
          <w:sz w:val="24"/>
          <w:szCs w:val="24"/>
        </w:rPr>
        <w:t xml:space="preserve">uvedené hodnoty platili </w:t>
      </w:r>
      <w:r w:rsidR="00CE0367" w:rsidRPr="00C07DEA">
        <w:rPr>
          <w:i/>
          <w:sz w:val="24"/>
          <w:szCs w:val="24"/>
        </w:rPr>
        <w:t>také pro OZE uvedené do provozu od 1. ledna 2013 do 31. prosinece 2015).</w:t>
      </w:r>
    </w:p>
    <w:p w14:paraId="112EB0AD" w14:textId="3B7DD16D" w:rsidR="00596C08" w:rsidRPr="00FD48F4" w:rsidRDefault="00596C08" w:rsidP="004713EF">
      <w:pPr>
        <w:tabs>
          <w:tab w:val="left" w:pos="0"/>
        </w:tabs>
        <w:overflowPunct/>
        <w:autoSpaceDE/>
        <w:autoSpaceDN/>
        <w:adjustRightInd/>
        <w:spacing w:before="100" w:beforeAutospacing="1" w:after="100" w:afterAutospacing="1" w:line="276" w:lineRule="auto"/>
        <w:jc w:val="both"/>
        <w:textAlignment w:val="auto"/>
        <w:rPr>
          <w:sz w:val="24"/>
          <w:szCs w:val="24"/>
        </w:rPr>
      </w:pPr>
      <w:r w:rsidRPr="00FD48F4">
        <w:rPr>
          <w:b/>
          <w:sz w:val="24"/>
          <w:szCs w:val="24"/>
        </w:rPr>
        <w:t xml:space="preserve">Při identifikaci </w:t>
      </w:r>
      <w:r w:rsidR="001D0305">
        <w:rPr>
          <w:b/>
          <w:sz w:val="24"/>
          <w:szCs w:val="24"/>
        </w:rPr>
        <w:t>pře</w:t>
      </w:r>
      <w:r w:rsidRPr="00FD48F4">
        <w:rPr>
          <w:b/>
          <w:sz w:val="24"/>
          <w:szCs w:val="24"/>
        </w:rPr>
        <w:t xml:space="preserve">kompenzace podpory budou zavedena </w:t>
      </w:r>
      <w:r w:rsidR="00AC7537" w:rsidRPr="00FD48F4">
        <w:rPr>
          <w:b/>
          <w:sz w:val="24"/>
          <w:szCs w:val="24"/>
        </w:rPr>
        <w:t>opatření, která zajistí, aby k </w:t>
      </w:r>
      <w:r w:rsidR="001D0305">
        <w:rPr>
          <w:b/>
          <w:sz w:val="24"/>
          <w:szCs w:val="24"/>
        </w:rPr>
        <w:t>pře</w:t>
      </w:r>
      <w:r w:rsidR="00AC7537" w:rsidRPr="00FD48F4">
        <w:rPr>
          <w:b/>
          <w:sz w:val="24"/>
          <w:szCs w:val="24"/>
        </w:rPr>
        <w:t xml:space="preserve">kompenzaci </w:t>
      </w:r>
      <w:r w:rsidR="005B4348" w:rsidRPr="00FD48F4">
        <w:rPr>
          <w:b/>
          <w:sz w:val="24"/>
          <w:szCs w:val="24"/>
        </w:rPr>
        <w:t xml:space="preserve">podpory </w:t>
      </w:r>
      <w:r w:rsidR="00AC7537" w:rsidRPr="00FD48F4">
        <w:rPr>
          <w:b/>
          <w:sz w:val="24"/>
          <w:szCs w:val="24"/>
        </w:rPr>
        <w:t xml:space="preserve">nedocházelo </w:t>
      </w:r>
      <w:r w:rsidR="001D0305">
        <w:rPr>
          <w:b/>
          <w:sz w:val="24"/>
          <w:szCs w:val="24"/>
        </w:rPr>
        <w:t xml:space="preserve">a aby </w:t>
      </w:r>
      <w:r w:rsidR="00AC7537" w:rsidRPr="00FD48F4">
        <w:rPr>
          <w:b/>
          <w:sz w:val="24"/>
          <w:szCs w:val="24"/>
        </w:rPr>
        <w:t xml:space="preserve"> v případě nutnosti </w:t>
      </w:r>
      <w:r w:rsidR="001D0305">
        <w:rPr>
          <w:b/>
          <w:sz w:val="24"/>
          <w:szCs w:val="24"/>
        </w:rPr>
        <w:t xml:space="preserve">tato překompenzovaná podpora byla </w:t>
      </w:r>
      <w:r w:rsidR="00AC7537" w:rsidRPr="00FD48F4">
        <w:rPr>
          <w:b/>
          <w:sz w:val="24"/>
          <w:szCs w:val="24"/>
        </w:rPr>
        <w:t>získána zpět</w:t>
      </w:r>
      <w:r w:rsidRPr="00FD48F4">
        <w:rPr>
          <w:sz w:val="24"/>
          <w:szCs w:val="24"/>
        </w:rPr>
        <w:t xml:space="preserve"> (uvedené </w:t>
      </w:r>
      <w:r w:rsidR="005B4348" w:rsidRPr="00FD48F4">
        <w:rPr>
          <w:sz w:val="24"/>
          <w:szCs w:val="24"/>
        </w:rPr>
        <w:t>opatření</w:t>
      </w:r>
      <w:r w:rsidRPr="00FD48F4">
        <w:rPr>
          <w:sz w:val="24"/>
          <w:szCs w:val="24"/>
        </w:rPr>
        <w:t xml:space="preserve">: snížením výše budoucí podpory, zkrácení </w:t>
      </w:r>
      <w:r w:rsidRPr="00FD48F4">
        <w:rPr>
          <w:sz w:val="24"/>
          <w:szCs w:val="24"/>
        </w:rPr>
        <w:lastRenderedPageBreak/>
        <w:t>doby, po kterou bude podpora vyplácena, nebo (v nutných případech), nabytím zpět části podpory, která nadměrnou kompenzaci způsobila).</w:t>
      </w:r>
    </w:p>
    <w:p w14:paraId="7AC9E2B1" w14:textId="378C4CF0" w:rsidR="00AC7537" w:rsidRPr="0053674C" w:rsidRDefault="00AC7537" w:rsidP="004713EF">
      <w:pPr>
        <w:pStyle w:val="slovanseznam"/>
        <w:numPr>
          <w:ilvl w:val="0"/>
          <w:numId w:val="0"/>
        </w:numPr>
        <w:tabs>
          <w:tab w:val="left" w:pos="708"/>
        </w:tabs>
        <w:spacing w:before="100" w:beforeAutospacing="1" w:after="100" w:afterAutospacing="1" w:line="276" w:lineRule="auto"/>
        <w:rPr>
          <w:rFonts w:asciiTheme="minorHAnsi" w:hAnsiTheme="minorHAnsi"/>
          <w:szCs w:val="24"/>
          <w:lang w:val="cs-CZ"/>
        </w:rPr>
      </w:pPr>
      <w:r w:rsidRPr="0053674C">
        <w:rPr>
          <w:rFonts w:asciiTheme="minorHAnsi" w:hAnsiTheme="minorHAnsi"/>
          <w:szCs w:val="24"/>
          <w:lang w:val="cs-CZ"/>
        </w:rPr>
        <w:t xml:space="preserve">Základním nástrojem mechanismu </w:t>
      </w:r>
      <w:r w:rsidR="00777AA3">
        <w:rPr>
          <w:rFonts w:asciiTheme="minorHAnsi" w:hAnsiTheme="minorHAnsi"/>
          <w:szCs w:val="24"/>
          <w:lang w:val="cs-CZ"/>
        </w:rPr>
        <w:t xml:space="preserve">kontroly přiměřenosti podpory </w:t>
      </w:r>
      <w:r w:rsidRPr="0053674C">
        <w:rPr>
          <w:rFonts w:asciiTheme="minorHAnsi" w:hAnsiTheme="minorHAnsi"/>
          <w:szCs w:val="24"/>
          <w:lang w:val="cs-CZ"/>
        </w:rPr>
        <w:t xml:space="preserve">je </w:t>
      </w:r>
      <w:r w:rsidRPr="0053674C">
        <w:rPr>
          <w:rFonts w:asciiTheme="minorHAnsi" w:hAnsiTheme="minorHAnsi"/>
          <w:szCs w:val="24"/>
        </w:rPr>
        <w:t>monitoring celkové úrovně podpory, kterou zařízení dostávají.</w:t>
      </w:r>
    </w:p>
    <w:p w14:paraId="65668D18" w14:textId="1D9BBC92" w:rsidR="00AC7537" w:rsidRPr="00F41CD1" w:rsidRDefault="00777AA3" w:rsidP="004713EF">
      <w:pPr>
        <w:pStyle w:val="slovanseznam"/>
        <w:numPr>
          <w:ilvl w:val="0"/>
          <w:numId w:val="0"/>
        </w:numPr>
        <w:tabs>
          <w:tab w:val="left" w:pos="708"/>
        </w:tabs>
        <w:spacing w:before="100" w:beforeAutospacing="1" w:after="100" w:afterAutospacing="1" w:line="276" w:lineRule="auto"/>
        <w:rPr>
          <w:rFonts w:asciiTheme="minorHAnsi" w:hAnsiTheme="minorHAnsi"/>
          <w:szCs w:val="24"/>
          <w:lang w:val="cs-CZ"/>
        </w:rPr>
      </w:pPr>
      <w:r>
        <w:rPr>
          <w:rFonts w:asciiTheme="minorHAnsi" w:hAnsiTheme="minorHAnsi"/>
          <w:b/>
          <w:szCs w:val="24"/>
        </w:rPr>
        <w:t>M</w:t>
      </w:r>
      <w:r w:rsidR="00596C08" w:rsidRPr="00FD48F4">
        <w:rPr>
          <w:rFonts w:asciiTheme="minorHAnsi" w:hAnsiTheme="minorHAnsi"/>
          <w:b/>
          <w:szCs w:val="24"/>
        </w:rPr>
        <w:t>ech</w:t>
      </w:r>
      <w:r w:rsidR="00497BA4">
        <w:rPr>
          <w:rFonts w:asciiTheme="minorHAnsi" w:hAnsiTheme="minorHAnsi"/>
          <w:b/>
          <w:szCs w:val="24"/>
        </w:rPr>
        <w:t>a</w:t>
      </w:r>
      <w:r w:rsidR="00596C08" w:rsidRPr="00FD48F4">
        <w:rPr>
          <w:rFonts w:asciiTheme="minorHAnsi" w:hAnsiTheme="minorHAnsi"/>
          <w:b/>
          <w:szCs w:val="24"/>
        </w:rPr>
        <w:t xml:space="preserve">nismus </w:t>
      </w:r>
      <w:r>
        <w:rPr>
          <w:rFonts w:asciiTheme="minorHAnsi" w:hAnsiTheme="minorHAnsi"/>
          <w:b/>
          <w:szCs w:val="24"/>
        </w:rPr>
        <w:t xml:space="preserve">kontroly přiměřenosti podpory </w:t>
      </w:r>
      <w:r w:rsidR="00596C08" w:rsidRPr="00FD48F4">
        <w:rPr>
          <w:rFonts w:asciiTheme="minorHAnsi" w:hAnsiTheme="minorHAnsi"/>
          <w:b/>
          <w:szCs w:val="24"/>
        </w:rPr>
        <w:t xml:space="preserve">má být proveden do 10 let po uvedení zařízení do provozu (u zdrojů uvedených do provozu v období 2006-2008, </w:t>
      </w:r>
      <w:r>
        <w:rPr>
          <w:rFonts w:asciiTheme="minorHAnsi" w:hAnsiTheme="minorHAnsi"/>
          <w:b/>
          <w:szCs w:val="24"/>
        </w:rPr>
        <w:t xml:space="preserve">pak </w:t>
      </w:r>
      <w:r w:rsidR="00596C08" w:rsidRPr="00FD48F4">
        <w:rPr>
          <w:rFonts w:asciiTheme="minorHAnsi" w:hAnsiTheme="minorHAnsi"/>
          <w:b/>
          <w:szCs w:val="24"/>
        </w:rPr>
        <w:t>do konce února 2019)</w:t>
      </w:r>
      <w:r w:rsidR="00596C08" w:rsidRPr="00F41CD1">
        <w:rPr>
          <w:rFonts w:asciiTheme="minorHAnsi" w:hAnsiTheme="minorHAnsi"/>
          <w:szCs w:val="24"/>
        </w:rPr>
        <w:t>.</w:t>
      </w:r>
    </w:p>
    <w:p w14:paraId="691DEDAD" w14:textId="2E55233B" w:rsidR="00596C08" w:rsidRPr="00596C08" w:rsidRDefault="00596C08" w:rsidP="004713EF">
      <w:pPr>
        <w:pStyle w:val="slovanseznam"/>
        <w:numPr>
          <w:ilvl w:val="0"/>
          <w:numId w:val="0"/>
        </w:numPr>
        <w:tabs>
          <w:tab w:val="left" w:pos="708"/>
        </w:tabs>
        <w:spacing w:before="100" w:beforeAutospacing="1" w:after="100" w:afterAutospacing="1" w:line="276" w:lineRule="auto"/>
        <w:rPr>
          <w:rFonts w:asciiTheme="minorHAnsi" w:hAnsiTheme="minorHAnsi"/>
          <w:szCs w:val="24"/>
          <w:lang w:val="cs-CZ"/>
        </w:rPr>
      </w:pPr>
      <w:r>
        <w:rPr>
          <w:rFonts w:asciiTheme="minorHAnsi" w:hAnsiTheme="minorHAnsi"/>
          <w:szCs w:val="24"/>
          <w:lang w:val="cs-CZ"/>
        </w:rPr>
        <w:t>Úroveň mechanismu</w:t>
      </w:r>
      <w:r w:rsidRPr="00596C08">
        <w:rPr>
          <w:rFonts w:asciiTheme="minorHAnsi" w:hAnsiTheme="minorHAnsi"/>
          <w:szCs w:val="24"/>
          <w:lang w:val="cs-CZ"/>
        </w:rPr>
        <w:t xml:space="preserve"> </w:t>
      </w:r>
      <w:r w:rsidR="00777AA3">
        <w:rPr>
          <w:rFonts w:asciiTheme="minorHAnsi" w:hAnsiTheme="minorHAnsi"/>
          <w:szCs w:val="24"/>
          <w:lang w:val="cs-CZ"/>
        </w:rPr>
        <w:t xml:space="preserve">kontroly přiměřenosti podpory </w:t>
      </w:r>
      <w:r>
        <w:rPr>
          <w:rFonts w:asciiTheme="minorHAnsi" w:hAnsiTheme="minorHAnsi"/>
          <w:szCs w:val="24"/>
          <w:lang w:val="cs-CZ"/>
        </w:rPr>
        <w:t>je rozdělena podle toho</w:t>
      </w:r>
      <w:r w:rsidR="00513E3C">
        <w:rPr>
          <w:rFonts w:asciiTheme="minorHAnsi" w:hAnsiTheme="minorHAnsi"/>
          <w:szCs w:val="24"/>
          <w:lang w:val="cs-CZ"/>
        </w:rPr>
        <w:t>,</w:t>
      </w:r>
      <w:r>
        <w:rPr>
          <w:rFonts w:asciiTheme="minorHAnsi" w:hAnsiTheme="minorHAnsi"/>
          <w:szCs w:val="24"/>
          <w:lang w:val="cs-CZ"/>
        </w:rPr>
        <w:t xml:space="preserve"> zda byl na zařízení uplatňován pouze </w:t>
      </w:r>
      <w:r w:rsidR="005B4348">
        <w:rPr>
          <w:rFonts w:asciiTheme="minorHAnsi" w:hAnsiTheme="minorHAnsi"/>
          <w:szCs w:val="24"/>
          <w:lang w:val="cs-CZ"/>
        </w:rPr>
        <w:t xml:space="preserve">jeden </w:t>
      </w:r>
      <w:r>
        <w:rPr>
          <w:rFonts w:asciiTheme="minorHAnsi" w:hAnsiTheme="minorHAnsi"/>
          <w:szCs w:val="24"/>
          <w:lang w:val="cs-CZ"/>
        </w:rPr>
        <w:t xml:space="preserve">druh podpory (elektřina z OZE) nebo zda docházelo ke kumulaci </w:t>
      </w:r>
      <w:r w:rsidR="00810D60">
        <w:rPr>
          <w:rFonts w:asciiTheme="minorHAnsi" w:hAnsiTheme="minorHAnsi"/>
          <w:szCs w:val="24"/>
          <w:lang w:val="cs-CZ"/>
        </w:rPr>
        <w:t xml:space="preserve">podpory elektřiny z OZE </w:t>
      </w:r>
      <w:r>
        <w:rPr>
          <w:rFonts w:asciiTheme="minorHAnsi" w:hAnsiTheme="minorHAnsi"/>
          <w:szCs w:val="24"/>
          <w:lang w:val="cs-CZ"/>
        </w:rPr>
        <w:t xml:space="preserve">s dalšími provozními podporami </w:t>
      </w:r>
      <w:r w:rsidR="0055018B">
        <w:rPr>
          <w:rFonts w:asciiTheme="minorHAnsi" w:hAnsiTheme="minorHAnsi"/>
          <w:szCs w:val="24"/>
          <w:lang w:val="cs-CZ"/>
        </w:rPr>
        <w:t>(</w:t>
      </w:r>
      <w:r w:rsidR="00F41CD1">
        <w:rPr>
          <w:rFonts w:asciiTheme="minorHAnsi" w:hAnsiTheme="minorHAnsi"/>
          <w:szCs w:val="24"/>
          <w:lang w:val="cs-CZ"/>
        </w:rPr>
        <w:t xml:space="preserve">podporou </w:t>
      </w:r>
      <w:r w:rsidR="0055018B">
        <w:rPr>
          <w:rFonts w:asciiTheme="minorHAnsi" w:hAnsiTheme="minorHAnsi"/>
          <w:szCs w:val="24"/>
          <w:lang w:val="cs-CZ"/>
        </w:rPr>
        <w:t>elektřin</w:t>
      </w:r>
      <w:r w:rsidR="00F41CD1">
        <w:rPr>
          <w:rFonts w:asciiTheme="minorHAnsi" w:hAnsiTheme="minorHAnsi"/>
          <w:szCs w:val="24"/>
          <w:lang w:val="cs-CZ"/>
        </w:rPr>
        <w:t>y</w:t>
      </w:r>
      <w:r w:rsidR="0055018B">
        <w:rPr>
          <w:rFonts w:asciiTheme="minorHAnsi" w:hAnsiTheme="minorHAnsi"/>
          <w:szCs w:val="24"/>
          <w:lang w:val="cs-CZ"/>
        </w:rPr>
        <w:t xml:space="preserve"> z</w:t>
      </w:r>
      <w:r w:rsidR="00F41CD1">
        <w:rPr>
          <w:rFonts w:asciiTheme="minorHAnsi" w:hAnsiTheme="minorHAnsi"/>
          <w:szCs w:val="24"/>
          <w:lang w:val="cs-CZ"/>
        </w:rPr>
        <w:t> vysokoúčinné kombinované výroby elektřiny a tepla</w:t>
      </w:r>
      <w:r w:rsidR="0055018B">
        <w:rPr>
          <w:rFonts w:asciiTheme="minorHAnsi" w:hAnsiTheme="minorHAnsi"/>
          <w:szCs w:val="24"/>
          <w:lang w:val="cs-CZ"/>
        </w:rPr>
        <w:t xml:space="preserve">, </w:t>
      </w:r>
      <w:r w:rsidR="00F41CD1">
        <w:rPr>
          <w:rFonts w:asciiTheme="minorHAnsi" w:hAnsiTheme="minorHAnsi"/>
          <w:szCs w:val="24"/>
          <w:lang w:val="cs-CZ"/>
        </w:rPr>
        <w:t>podporou elektřiny</w:t>
      </w:r>
      <w:r w:rsidR="0055018B">
        <w:rPr>
          <w:rFonts w:asciiTheme="minorHAnsi" w:hAnsiTheme="minorHAnsi"/>
          <w:szCs w:val="24"/>
          <w:lang w:val="cs-CZ"/>
        </w:rPr>
        <w:t xml:space="preserve"> z</w:t>
      </w:r>
      <w:r w:rsidR="00F41CD1">
        <w:rPr>
          <w:rFonts w:asciiTheme="minorHAnsi" w:hAnsiTheme="minorHAnsi"/>
          <w:szCs w:val="24"/>
          <w:lang w:val="cs-CZ"/>
        </w:rPr>
        <w:t> druhotných energetických zdrojů</w:t>
      </w:r>
      <w:r w:rsidR="0055018B">
        <w:rPr>
          <w:rFonts w:asciiTheme="minorHAnsi" w:hAnsiTheme="minorHAnsi"/>
          <w:szCs w:val="24"/>
          <w:lang w:val="cs-CZ"/>
        </w:rPr>
        <w:t xml:space="preserve">, </w:t>
      </w:r>
      <w:r w:rsidR="00F41CD1">
        <w:rPr>
          <w:rFonts w:asciiTheme="minorHAnsi" w:hAnsiTheme="minorHAnsi"/>
          <w:szCs w:val="24"/>
          <w:lang w:val="cs-CZ"/>
        </w:rPr>
        <w:t>podporou elektřiny</w:t>
      </w:r>
      <w:r w:rsidR="0055018B">
        <w:rPr>
          <w:rFonts w:asciiTheme="minorHAnsi" w:hAnsiTheme="minorHAnsi"/>
          <w:szCs w:val="24"/>
          <w:lang w:val="cs-CZ"/>
        </w:rPr>
        <w:t xml:space="preserve"> z</w:t>
      </w:r>
      <w:r w:rsidR="00F41CD1">
        <w:rPr>
          <w:rFonts w:asciiTheme="minorHAnsi" w:hAnsiTheme="minorHAnsi"/>
          <w:szCs w:val="24"/>
          <w:lang w:val="cs-CZ"/>
        </w:rPr>
        <w:t> decentrální výroby elektřiny</w:t>
      </w:r>
      <w:r w:rsidR="0055018B">
        <w:rPr>
          <w:rFonts w:asciiTheme="minorHAnsi" w:hAnsiTheme="minorHAnsi"/>
          <w:szCs w:val="24"/>
          <w:lang w:val="cs-CZ"/>
        </w:rPr>
        <w:t xml:space="preserve"> nebo </w:t>
      </w:r>
      <w:r w:rsidR="00F41CD1">
        <w:rPr>
          <w:rFonts w:asciiTheme="minorHAnsi" w:hAnsiTheme="minorHAnsi"/>
          <w:szCs w:val="24"/>
          <w:lang w:val="cs-CZ"/>
        </w:rPr>
        <w:t xml:space="preserve">podporou </w:t>
      </w:r>
      <w:r w:rsidR="0055018B">
        <w:rPr>
          <w:rFonts w:asciiTheme="minorHAnsi" w:hAnsiTheme="minorHAnsi"/>
          <w:szCs w:val="24"/>
          <w:lang w:val="cs-CZ"/>
        </w:rPr>
        <w:t>teplem z</w:t>
      </w:r>
      <w:r w:rsidR="00F41CD1">
        <w:rPr>
          <w:rFonts w:asciiTheme="minorHAnsi" w:hAnsiTheme="minorHAnsi"/>
          <w:szCs w:val="24"/>
          <w:lang w:val="cs-CZ"/>
        </w:rPr>
        <w:t> obnovitelných zdrojů energie</w:t>
      </w:r>
      <w:r w:rsidR="0055018B">
        <w:rPr>
          <w:rFonts w:asciiTheme="minorHAnsi" w:hAnsiTheme="minorHAnsi"/>
          <w:szCs w:val="24"/>
          <w:lang w:val="cs-CZ"/>
        </w:rPr>
        <w:t xml:space="preserve">) </w:t>
      </w:r>
      <w:r>
        <w:rPr>
          <w:rFonts w:asciiTheme="minorHAnsi" w:hAnsiTheme="minorHAnsi"/>
          <w:szCs w:val="24"/>
          <w:lang w:val="cs-CZ"/>
        </w:rPr>
        <w:t xml:space="preserve">anebo </w:t>
      </w:r>
      <w:r w:rsidR="005B4348">
        <w:rPr>
          <w:rFonts w:asciiTheme="minorHAnsi" w:hAnsiTheme="minorHAnsi"/>
          <w:szCs w:val="24"/>
          <w:lang w:val="cs-CZ"/>
        </w:rPr>
        <w:t xml:space="preserve">s </w:t>
      </w:r>
      <w:r>
        <w:rPr>
          <w:rFonts w:asciiTheme="minorHAnsi" w:hAnsiTheme="minorHAnsi"/>
          <w:szCs w:val="24"/>
          <w:lang w:val="cs-CZ"/>
        </w:rPr>
        <w:t>investiční podporou</w:t>
      </w:r>
      <w:r w:rsidR="0053674C">
        <w:rPr>
          <w:rFonts w:asciiTheme="minorHAnsi" w:hAnsiTheme="minorHAnsi"/>
          <w:szCs w:val="24"/>
          <w:lang w:val="cs-CZ"/>
        </w:rPr>
        <w:t>:</w:t>
      </w:r>
    </w:p>
    <w:p w14:paraId="42041CC8" w14:textId="00367667" w:rsidR="0053674C" w:rsidRPr="0053674C" w:rsidRDefault="0053674C" w:rsidP="000B4301">
      <w:pPr>
        <w:pStyle w:val="Textpoznpodarou"/>
        <w:numPr>
          <w:ilvl w:val="0"/>
          <w:numId w:val="2"/>
        </w:numPr>
        <w:tabs>
          <w:tab w:val="left" w:pos="426"/>
        </w:tabs>
        <w:spacing w:before="100" w:beforeAutospacing="1" w:after="100" w:afterAutospacing="1" w:line="276" w:lineRule="auto"/>
        <w:ind w:left="0" w:hanging="11"/>
        <w:jc w:val="both"/>
        <w:rPr>
          <w:rFonts w:cs="Times New Roman"/>
          <w:i/>
          <w:sz w:val="24"/>
          <w:szCs w:val="24"/>
          <w:lang w:val="cs-CZ"/>
        </w:rPr>
      </w:pPr>
      <w:r w:rsidRPr="0053674C">
        <w:rPr>
          <w:i/>
          <w:sz w:val="24"/>
          <w:szCs w:val="24"/>
          <w:lang w:val="cs-CZ"/>
        </w:rPr>
        <w:t xml:space="preserve">v případě uplatňování pouze jednohu druhu podpory </w:t>
      </w:r>
      <w:r w:rsidR="005B4348">
        <w:rPr>
          <w:i/>
          <w:sz w:val="24"/>
          <w:szCs w:val="24"/>
          <w:lang w:val="cs-CZ"/>
        </w:rPr>
        <w:t>–</w:t>
      </w:r>
      <w:r w:rsidRPr="0053674C">
        <w:rPr>
          <w:i/>
          <w:sz w:val="24"/>
          <w:szCs w:val="24"/>
          <w:lang w:val="cs-CZ"/>
        </w:rPr>
        <w:t xml:space="preserve"> </w:t>
      </w:r>
      <w:r w:rsidR="005B4348">
        <w:rPr>
          <w:i/>
          <w:sz w:val="24"/>
          <w:szCs w:val="24"/>
          <w:lang w:val="cs-CZ"/>
        </w:rPr>
        <w:t xml:space="preserve">má být mechanismus </w:t>
      </w:r>
      <w:r w:rsidR="00777AA3">
        <w:rPr>
          <w:i/>
          <w:sz w:val="24"/>
          <w:szCs w:val="24"/>
          <w:lang w:val="cs-CZ"/>
        </w:rPr>
        <w:t xml:space="preserve">kontroly přiměřenosti podpory </w:t>
      </w:r>
      <w:r w:rsidR="005B4348">
        <w:rPr>
          <w:i/>
          <w:sz w:val="24"/>
          <w:szCs w:val="24"/>
          <w:lang w:val="cs-CZ"/>
        </w:rPr>
        <w:t xml:space="preserve">proveden </w:t>
      </w:r>
      <w:r w:rsidRPr="0053674C">
        <w:rPr>
          <w:rFonts w:cs="Times New Roman"/>
          <w:i/>
          <w:sz w:val="24"/>
          <w:szCs w:val="24"/>
          <w:lang w:val="cs-CZ"/>
        </w:rPr>
        <w:t xml:space="preserve">na </w:t>
      </w:r>
      <w:r w:rsidRPr="0053674C">
        <w:rPr>
          <w:rFonts w:cs="Times New Roman"/>
          <w:b/>
          <w:i/>
          <w:sz w:val="24"/>
          <w:szCs w:val="24"/>
          <w:lang w:val="cs-CZ"/>
        </w:rPr>
        <w:t>úrovni reprezentativního vzorku různých kategorií zařízení</w:t>
      </w:r>
      <w:r w:rsidRPr="0053674C">
        <w:rPr>
          <w:rFonts w:cs="Times New Roman"/>
          <w:i/>
          <w:sz w:val="24"/>
          <w:szCs w:val="24"/>
          <w:lang w:val="cs-CZ"/>
        </w:rPr>
        <w:t xml:space="preserve"> </w:t>
      </w:r>
      <w:r w:rsidR="00843D80">
        <w:rPr>
          <w:rFonts w:cs="Times New Roman"/>
          <w:i/>
          <w:sz w:val="24"/>
          <w:szCs w:val="24"/>
          <w:lang w:val="cs-CZ"/>
        </w:rPr>
        <w:t xml:space="preserve">a zaměření mechanismu </w:t>
      </w:r>
      <w:r w:rsidR="00777AA3">
        <w:rPr>
          <w:rFonts w:cs="Times New Roman"/>
          <w:i/>
          <w:sz w:val="24"/>
          <w:szCs w:val="24"/>
          <w:lang w:val="cs-CZ"/>
        </w:rPr>
        <w:t xml:space="preserve">kontroly přiměřenosti podpory </w:t>
      </w:r>
      <w:r w:rsidR="00843D80">
        <w:rPr>
          <w:rFonts w:cs="Times New Roman"/>
          <w:i/>
          <w:sz w:val="24"/>
          <w:szCs w:val="24"/>
          <w:lang w:val="cs-CZ"/>
        </w:rPr>
        <w:t xml:space="preserve">bude na </w:t>
      </w:r>
      <w:r w:rsidR="00843D80" w:rsidRPr="00843D80">
        <w:rPr>
          <w:rFonts w:cs="Times New Roman"/>
          <w:i/>
          <w:sz w:val="24"/>
          <w:szCs w:val="24"/>
          <w:u w:val="single"/>
          <w:lang w:val="cs-CZ"/>
        </w:rPr>
        <w:t>výrobní náklady</w:t>
      </w:r>
    </w:p>
    <w:p w14:paraId="18584D72" w14:textId="0B3D23E7" w:rsidR="0053674C" w:rsidRPr="0053674C" w:rsidRDefault="0053674C" w:rsidP="004713EF">
      <w:pPr>
        <w:pStyle w:val="Textpoznpodarou"/>
        <w:spacing w:before="100" w:beforeAutospacing="1" w:after="100" w:afterAutospacing="1" w:line="276" w:lineRule="auto"/>
        <w:jc w:val="both"/>
        <w:rPr>
          <w:rFonts w:cs="Times New Roman"/>
          <w:i/>
          <w:sz w:val="24"/>
          <w:szCs w:val="24"/>
          <w:lang w:val="cs-CZ"/>
        </w:rPr>
      </w:pPr>
      <w:r w:rsidRPr="0053674C">
        <w:rPr>
          <w:rFonts w:cs="Times New Roman"/>
          <w:i/>
          <w:sz w:val="24"/>
          <w:szCs w:val="24"/>
          <w:lang w:val="cs-CZ"/>
        </w:rPr>
        <w:t xml:space="preserve">b) v případě kdy docházelo ke kumulaci </w:t>
      </w:r>
      <w:r w:rsidR="00810D60">
        <w:rPr>
          <w:rFonts w:cs="Times New Roman"/>
          <w:i/>
          <w:sz w:val="24"/>
          <w:szCs w:val="24"/>
          <w:lang w:val="cs-CZ"/>
        </w:rPr>
        <w:t xml:space="preserve">podpory elektřiny z OZE </w:t>
      </w:r>
      <w:r w:rsidRPr="0053674C">
        <w:rPr>
          <w:rFonts w:cs="Times New Roman"/>
          <w:i/>
          <w:sz w:val="24"/>
          <w:szCs w:val="24"/>
          <w:lang w:val="cs-CZ"/>
        </w:rPr>
        <w:t xml:space="preserve">s dalšími provozními podporami anebo investiční podporou </w:t>
      </w:r>
      <w:r w:rsidR="005B4348">
        <w:rPr>
          <w:rFonts w:cs="Times New Roman"/>
          <w:i/>
          <w:sz w:val="24"/>
          <w:szCs w:val="24"/>
          <w:lang w:val="cs-CZ"/>
        </w:rPr>
        <w:t>–</w:t>
      </w:r>
      <w:r w:rsidRPr="0053674C">
        <w:rPr>
          <w:rFonts w:cs="Times New Roman"/>
          <w:i/>
          <w:sz w:val="24"/>
          <w:szCs w:val="24"/>
          <w:lang w:val="cs-CZ"/>
        </w:rPr>
        <w:t xml:space="preserve"> </w:t>
      </w:r>
      <w:r w:rsidR="005B4348">
        <w:rPr>
          <w:rFonts w:cs="Times New Roman"/>
          <w:i/>
          <w:sz w:val="24"/>
          <w:szCs w:val="24"/>
          <w:lang w:val="cs-CZ"/>
        </w:rPr>
        <w:t>má být mech</w:t>
      </w:r>
      <w:r w:rsidR="00777AA3">
        <w:rPr>
          <w:rFonts w:cs="Times New Roman"/>
          <w:i/>
          <w:sz w:val="24"/>
          <w:szCs w:val="24"/>
          <w:lang w:val="cs-CZ"/>
        </w:rPr>
        <w:t>a</w:t>
      </w:r>
      <w:r w:rsidR="005B4348">
        <w:rPr>
          <w:rFonts w:cs="Times New Roman"/>
          <w:i/>
          <w:sz w:val="24"/>
          <w:szCs w:val="24"/>
          <w:lang w:val="cs-CZ"/>
        </w:rPr>
        <w:t xml:space="preserve">nismu </w:t>
      </w:r>
      <w:r w:rsidR="00777AA3">
        <w:rPr>
          <w:rFonts w:cs="Times New Roman"/>
          <w:i/>
          <w:sz w:val="24"/>
          <w:szCs w:val="24"/>
          <w:lang w:val="cs-CZ"/>
        </w:rPr>
        <w:t xml:space="preserve">kontroly přiměřenosti podpory </w:t>
      </w:r>
      <w:r w:rsidR="005B4348">
        <w:rPr>
          <w:rFonts w:cs="Times New Roman"/>
          <w:i/>
          <w:sz w:val="24"/>
          <w:szCs w:val="24"/>
          <w:lang w:val="cs-CZ"/>
        </w:rPr>
        <w:t xml:space="preserve">proveden </w:t>
      </w:r>
      <w:r w:rsidRPr="0053674C">
        <w:rPr>
          <w:rFonts w:cs="Times New Roman"/>
          <w:i/>
          <w:sz w:val="24"/>
          <w:szCs w:val="24"/>
          <w:lang w:val="cs-CZ"/>
        </w:rPr>
        <w:t xml:space="preserve">na </w:t>
      </w:r>
      <w:r w:rsidRPr="0053674C">
        <w:rPr>
          <w:rFonts w:cs="Times New Roman"/>
          <w:b/>
          <w:i/>
          <w:sz w:val="24"/>
          <w:szCs w:val="24"/>
          <w:lang w:val="cs-CZ"/>
        </w:rPr>
        <w:t>úrovni jednotlivých zařízení</w:t>
      </w:r>
      <w:r w:rsidRPr="0053674C">
        <w:rPr>
          <w:rFonts w:cs="Times New Roman"/>
          <w:i/>
          <w:sz w:val="24"/>
          <w:szCs w:val="24"/>
          <w:lang w:val="cs-CZ"/>
        </w:rPr>
        <w:t xml:space="preserve"> (výroben elektřiny), tedy tzv. individuální kontrola </w:t>
      </w:r>
      <w:r w:rsidR="00843D80">
        <w:rPr>
          <w:rFonts w:cs="Times New Roman"/>
          <w:i/>
          <w:sz w:val="24"/>
          <w:szCs w:val="24"/>
          <w:lang w:val="cs-CZ"/>
        </w:rPr>
        <w:t xml:space="preserve">a zaměření mechanismu </w:t>
      </w:r>
      <w:r w:rsidR="00777AA3">
        <w:rPr>
          <w:rFonts w:cs="Times New Roman"/>
          <w:i/>
          <w:sz w:val="24"/>
          <w:szCs w:val="24"/>
          <w:lang w:val="cs-CZ"/>
        </w:rPr>
        <w:t xml:space="preserve">kontroly přiměřenosti podpory </w:t>
      </w:r>
      <w:r w:rsidR="00843D80">
        <w:rPr>
          <w:rFonts w:cs="Times New Roman"/>
          <w:i/>
          <w:sz w:val="24"/>
          <w:szCs w:val="24"/>
          <w:lang w:val="cs-CZ"/>
        </w:rPr>
        <w:t xml:space="preserve">bude na </w:t>
      </w:r>
      <w:r w:rsidR="00843D80" w:rsidRPr="00843D80">
        <w:rPr>
          <w:rFonts w:cs="Times New Roman"/>
          <w:i/>
          <w:sz w:val="24"/>
          <w:szCs w:val="24"/>
          <w:u w:val="single"/>
          <w:lang w:val="cs-CZ"/>
        </w:rPr>
        <w:t>výrobní náklady</w:t>
      </w:r>
      <w:r w:rsidR="00843D80">
        <w:rPr>
          <w:rFonts w:cs="Times New Roman"/>
          <w:i/>
          <w:sz w:val="24"/>
          <w:szCs w:val="24"/>
          <w:lang w:val="cs-CZ"/>
        </w:rPr>
        <w:t xml:space="preserve"> a na </w:t>
      </w:r>
      <w:r w:rsidR="00843D80" w:rsidRPr="00843D80">
        <w:rPr>
          <w:rFonts w:cs="Times New Roman"/>
          <w:i/>
          <w:sz w:val="24"/>
          <w:szCs w:val="24"/>
          <w:u w:val="single"/>
          <w:lang w:val="cs-CZ"/>
        </w:rPr>
        <w:t>kumulaci dalších poskytnutých podpor</w:t>
      </w:r>
    </w:p>
    <w:p w14:paraId="2616E8E0" w14:textId="389908C5" w:rsidR="009907B0" w:rsidRDefault="009907B0" w:rsidP="00125810">
      <w:pPr>
        <w:pStyle w:val="Textpoznpodarou"/>
        <w:spacing w:before="100" w:beforeAutospacing="1" w:after="100" w:afterAutospacing="1" w:line="276" w:lineRule="auto"/>
        <w:jc w:val="both"/>
        <w:rPr>
          <w:sz w:val="24"/>
          <w:szCs w:val="24"/>
          <w:lang w:val="cs-CZ"/>
        </w:rPr>
      </w:pPr>
      <w:r w:rsidRPr="004616C5">
        <w:rPr>
          <w:b/>
          <w:sz w:val="24"/>
          <w:szCs w:val="24"/>
          <w:lang w:val="cs-CZ"/>
        </w:rPr>
        <w:t>Z</w:t>
      </w:r>
      <w:r w:rsidR="005B4348">
        <w:rPr>
          <w:b/>
          <w:sz w:val="24"/>
          <w:szCs w:val="24"/>
          <w:lang w:val="cs-CZ"/>
        </w:rPr>
        <w:t xml:space="preserve">  </w:t>
      </w:r>
      <w:r w:rsidRPr="004616C5">
        <w:rPr>
          <w:b/>
          <w:sz w:val="24"/>
          <w:szCs w:val="24"/>
          <w:lang w:val="cs-CZ"/>
        </w:rPr>
        <w:t xml:space="preserve">mechanismu </w:t>
      </w:r>
      <w:r w:rsidR="00777AA3">
        <w:rPr>
          <w:b/>
          <w:sz w:val="24"/>
          <w:szCs w:val="24"/>
          <w:lang w:val="cs-CZ"/>
        </w:rPr>
        <w:t xml:space="preserve">kontroly přiměřenosti podpory </w:t>
      </w:r>
      <w:r w:rsidRPr="004616C5">
        <w:rPr>
          <w:b/>
          <w:sz w:val="24"/>
          <w:szCs w:val="24"/>
          <w:lang w:val="cs-CZ"/>
        </w:rPr>
        <w:t xml:space="preserve">jsou vyloučeny </w:t>
      </w:r>
      <w:r w:rsidR="004A7C7D">
        <w:rPr>
          <w:b/>
          <w:sz w:val="24"/>
          <w:szCs w:val="24"/>
          <w:lang w:val="cs-CZ"/>
        </w:rPr>
        <w:t>zdroje</w:t>
      </w:r>
      <w:r w:rsidRPr="004616C5">
        <w:rPr>
          <w:b/>
          <w:sz w:val="24"/>
          <w:szCs w:val="24"/>
          <w:lang w:val="cs-CZ"/>
        </w:rPr>
        <w:t xml:space="preserve">, které </w:t>
      </w:r>
      <w:r w:rsidR="005B4348">
        <w:rPr>
          <w:b/>
          <w:sz w:val="24"/>
          <w:szCs w:val="24"/>
          <w:lang w:val="cs-CZ"/>
        </w:rPr>
        <w:t xml:space="preserve">čerpají </w:t>
      </w:r>
      <w:r w:rsidRPr="004616C5">
        <w:rPr>
          <w:b/>
          <w:sz w:val="24"/>
          <w:szCs w:val="24"/>
          <w:lang w:val="cs-CZ"/>
        </w:rPr>
        <w:t xml:space="preserve">podporu </w:t>
      </w:r>
      <w:r w:rsidR="005B4348" w:rsidRPr="005B4348">
        <w:rPr>
          <w:sz w:val="24"/>
          <w:szCs w:val="24"/>
          <w:lang w:val="cs-CZ"/>
        </w:rPr>
        <w:t xml:space="preserve">ve formě </w:t>
      </w:r>
      <w:r w:rsidR="004D472B">
        <w:rPr>
          <w:sz w:val="24"/>
          <w:szCs w:val="24"/>
          <w:lang w:val="cs-CZ"/>
        </w:rPr>
        <w:t xml:space="preserve">provozní </w:t>
      </w:r>
      <w:r w:rsidR="005B4348" w:rsidRPr="005B4348">
        <w:rPr>
          <w:sz w:val="24"/>
          <w:szCs w:val="24"/>
          <w:lang w:val="cs-CZ"/>
        </w:rPr>
        <w:t xml:space="preserve">podpory elektřiny z OZE </w:t>
      </w:r>
      <w:r w:rsidR="004A7C7D">
        <w:rPr>
          <w:sz w:val="24"/>
          <w:szCs w:val="24"/>
          <w:lang w:val="cs-CZ"/>
        </w:rPr>
        <w:t>v součtu</w:t>
      </w:r>
      <w:r w:rsidR="005B4348" w:rsidRPr="005B4348">
        <w:rPr>
          <w:sz w:val="24"/>
          <w:szCs w:val="24"/>
          <w:lang w:val="cs-CZ"/>
        </w:rPr>
        <w:t xml:space="preserve"> s dalšími druhy </w:t>
      </w:r>
      <w:r w:rsidR="004A7C7D">
        <w:rPr>
          <w:sz w:val="24"/>
          <w:szCs w:val="24"/>
          <w:lang w:val="cs-CZ"/>
        </w:rPr>
        <w:t xml:space="preserve">provozní nebo investiční </w:t>
      </w:r>
      <w:r w:rsidR="005B4348" w:rsidRPr="005B4348">
        <w:rPr>
          <w:sz w:val="24"/>
          <w:szCs w:val="24"/>
          <w:lang w:val="cs-CZ"/>
        </w:rPr>
        <w:t>podpor</w:t>
      </w:r>
      <w:r w:rsidR="004A7C7D">
        <w:rPr>
          <w:sz w:val="24"/>
          <w:szCs w:val="24"/>
          <w:lang w:val="cs-CZ"/>
        </w:rPr>
        <w:t>y</w:t>
      </w:r>
      <w:r w:rsidR="005B4348">
        <w:rPr>
          <w:b/>
          <w:sz w:val="24"/>
          <w:szCs w:val="24"/>
          <w:lang w:val="cs-CZ"/>
        </w:rPr>
        <w:t xml:space="preserve"> </w:t>
      </w:r>
      <w:r w:rsidR="004A7C7D">
        <w:rPr>
          <w:b/>
          <w:sz w:val="24"/>
          <w:szCs w:val="24"/>
          <w:lang w:val="cs-CZ"/>
        </w:rPr>
        <w:t>a</w:t>
      </w:r>
      <w:r w:rsidR="0080265C">
        <w:rPr>
          <w:b/>
          <w:sz w:val="24"/>
          <w:szCs w:val="24"/>
          <w:lang w:val="cs-CZ"/>
        </w:rPr>
        <w:t xml:space="preserve"> dalšími </w:t>
      </w:r>
      <w:r w:rsidR="004A7C7D">
        <w:rPr>
          <w:b/>
          <w:sz w:val="24"/>
          <w:szCs w:val="24"/>
          <w:lang w:val="cs-CZ"/>
        </w:rPr>
        <w:t xml:space="preserve">poskytnutými </w:t>
      </w:r>
      <w:r w:rsidR="00032F94">
        <w:rPr>
          <w:b/>
          <w:sz w:val="24"/>
          <w:szCs w:val="24"/>
          <w:lang w:val="cs-CZ"/>
        </w:rPr>
        <w:t>podpor</w:t>
      </w:r>
      <w:r w:rsidR="004A7C7D">
        <w:rPr>
          <w:b/>
          <w:sz w:val="24"/>
          <w:szCs w:val="24"/>
          <w:lang w:val="cs-CZ"/>
        </w:rPr>
        <w:t>ami, které příslušný vlastník zdroje (na úrovni jednoho podniku</w:t>
      </w:r>
      <w:r w:rsidR="004A7C7D">
        <w:rPr>
          <w:rStyle w:val="Znakapoznpodarou"/>
          <w:sz w:val="24"/>
          <w:szCs w:val="24"/>
          <w:lang w:val="cs-CZ"/>
        </w:rPr>
        <w:footnoteReference w:id="5"/>
      </w:r>
      <w:r w:rsidR="004A7C7D">
        <w:rPr>
          <w:b/>
          <w:sz w:val="24"/>
          <w:szCs w:val="24"/>
          <w:lang w:val="cs-CZ"/>
        </w:rPr>
        <w:t>)</w:t>
      </w:r>
      <w:r w:rsidR="004A7C7D">
        <w:rPr>
          <w:sz w:val="24"/>
          <w:szCs w:val="24"/>
          <w:lang w:val="cs-CZ"/>
        </w:rPr>
        <w:t xml:space="preserve"> čerpal </w:t>
      </w:r>
      <w:r w:rsidR="0080265C">
        <w:rPr>
          <w:b/>
          <w:sz w:val="24"/>
          <w:szCs w:val="24"/>
          <w:lang w:val="cs-CZ"/>
        </w:rPr>
        <w:t xml:space="preserve">podle centrálního registru de minimis </w:t>
      </w:r>
      <w:r w:rsidRPr="004616C5">
        <w:rPr>
          <w:b/>
          <w:sz w:val="24"/>
          <w:szCs w:val="24"/>
          <w:lang w:val="cs-CZ"/>
        </w:rPr>
        <w:t xml:space="preserve">do </w:t>
      </w:r>
      <w:r w:rsidR="004A7C7D">
        <w:rPr>
          <w:b/>
          <w:sz w:val="24"/>
          <w:szCs w:val="24"/>
          <w:lang w:val="cs-CZ"/>
        </w:rPr>
        <w:t>maximální výše</w:t>
      </w:r>
      <w:r w:rsidRPr="004616C5">
        <w:rPr>
          <w:b/>
          <w:sz w:val="24"/>
          <w:szCs w:val="24"/>
          <w:lang w:val="cs-CZ"/>
        </w:rPr>
        <w:t xml:space="preserve"> </w:t>
      </w:r>
      <w:r w:rsidRPr="004616C5">
        <w:rPr>
          <w:b/>
          <w:i/>
          <w:sz w:val="24"/>
          <w:szCs w:val="24"/>
          <w:lang w:val="cs-CZ"/>
        </w:rPr>
        <w:t>de minimis</w:t>
      </w:r>
      <w:r w:rsidRPr="004616C5">
        <w:rPr>
          <w:b/>
          <w:sz w:val="24"/>
          <w:szCs w:val="24"/>
          <w:lang w:val="cs-CZ"/>
        </w:rPr>
        <w:t xml:space="preserve"> </w:t>
      </w:r>
      <w:r w:rsidR="004A7C7D" w:rsidRPr="004616C5">
        <w:rPr>
          <w:sz w:val="24"/>
          <w:szCs w:val="24"/>
          <w:lang w:val="cs-CZ"/>
        </w:rPr>
        <w:t>stanoven</w:t>
      </w:r>
      <w:r w:rsidR="004A7C7D">
        <w:rPr>
          <w:sz w:val="24"/>
          <w:szCs w:val="24"/>
          <w:lang w:val="cs-CZ"/>
        </w:rPr>
        <w:t>é čl. 3, odst. 2</w:t>
      </w:r>
      <w:r w:rsidR="004A7C7D" w:rsidRPr="004616C5">
        <w:rPr>
          <w:sz w:val="24"/>
          <w:szCs w:val="24"/>
          <w:lang w:val="cs-CZ"/>
        </w:rPr>
        <w:t xml:space="preserve"> </w:t>
      </w:r>
      <w:r w:rsidRPr="004616C5">
        <w:rPr>
          <w:sz w:val="24"/>
          <w:szCs w:val="24"/>
          <w:lang w:val="cs-CZ"/>
        </w:rPr>
        <w:t>nařízení Komise č 1407/2013 ze dne 18. prosince 2013 o uplatnění článků 107 a 108 Smlouvy o fungování Evropské unie</w:t>
      </w:r>
      <w:r w:rsidR="004A7C7D">
        <w:rPr>
          <w:sz w:val="24"/>
          <w:szCs w:val="24"/>
          <w:lang w:val="cs-CZ"/>
        </w:rPr>
        <w:t xml:space="preserve">.Maximální kumulativní výše podpory de minimis jednomu podniku činí </w:t>
      </w:r>
      <w:r w:rsidR="00082BB7">
        <w:rPr>
          <w:sz w:val="24"/>
          <w:szCs w:val="24"/>
          <w:lang w:val="cs-CZ"/>
        </w:rPr>
        <w:t xml:space="preserve">200 tis. Euro za 3 roky – ve vyjádření v české měně se jedná přibližně o hodnotu přesahující </w:t>
      </w:r>
      <w:r w:rsidR="0053674C">
        <w:rPr>
          <w:sz w:val="24"/>
          <w:szCs w:val="24"/>
          <w:lang w:val="cs-CZ"/>
        </w:rPr>
        <w:t xml:space="preserve">5, 38 mil. Kč  za 3 roky nebo 1,79 mil.Kč jako roční </w:t>
      </w:r>
      <w:r w:rsidR="00082BB7">
        <w:rPr>
          <w:sz w:val="24"/>
          <w:szCs w:val="24"/>
          <w:lang w:val="cs-CZ"/>
        </w:rPr>
        <w:t xml:space="preserve">příjmy </w:t>
      </w:r>
      <w:r w:rsidR="0053674C">
        <w:rPr>
          <w:sz w:val="24"/>
          <w:szCs w:val="24"/>
          <w:lang w:val="cs-CZ"/>
        </w:rPr>
        <w:t>z podpory</w:t>
      </w:r>
      <w:r w:rsidR="00125810">
        <w:rPr>
          <w:rStyle w:val="Znakapoznpodarou"/>
          <w:sz w:val="24"/>
          <w:szCs w:val="24"/>
          <w:lang w:val="cs-CZ"/>
        </w:rPr>
        <w:footnoteReference w:id="6"/>
      </w:r>
      <w:r w:rsidRPr="004616C5">
        <w:rPr>
          <w:sz w:val="24"/>
          <w:szCs w:val="24"/>
          <w:lang w:val="cs-CZ"/>
        </w:rPr>
        <w:t>.</w:t>
      </w:r>
    </w:p>
    <w:p w14:paraId="4E87C6E5" w14:textId="52419ED2" w:rsidR="00706019" w:rsidRPr="00FD48F4" w:rsidRDefault="00706019" w:rsidP="000B4301">
      <w:pPr>
        <w:pStyle w:val="Nadpis1"/>
        <w:numPr>
          <w:ilvl w:val="0"/>
          <w:numId w:val="24"/>
        </w:numPr>
        <w:ind w:left="426" w:hanging="426"/>
        <w:jc w:val="both"/>
        <w:rPr>
          <w:rFonts w:asciiTheme="majorHAnsi" w:hAnsiTheme="majorHAnsi"/>
          <w:b w:val="0"/>
          <w:sz w:val="32"/>
          <w:szCs w:val="32"/>
        </w:rPr>
      </w:pPr>
      <w:bookmarkStart w:id="6" w:name="_Toc476517920"/>
      <w:r w:rsidRPr="00FD48F4">
        <w:rPr>
          <w:rFonts w:asciiTheme="majorHAnsi" w:hAnsiTheme="majorHAnsi"/>
          <w:sz w:val="32"/>
          <w:szCs w:val="32"/>
        </w:rPr>
        <w:lastRenderedPageBreak/>
        <w:t xml:space="preserve">Vazba závazku </w:t>
      </w:r>
      <w:r w:rsidR="00A8142D">
        <w:rPr>
          <w:rFonts w:asciiTheme="majorHAnsi" w:hAnsiTheme="majorHAnsi"/>
          <w:sz w:val="32"/>
          <w:szCs w:val="32"/>
        </w:rPr>
        <w:t>k mechanismu</w:t>
      </w:r>
      <w:r w:rsidR="00724D38" w:rsidRPr="00FD48F4">
        <w:rPr>
          <w:rFonts w:asciiTheme="majorHAnsi" w:hAnsiTheme="majorHAnsi"/>
          <w:sz w:val="32"/>
          <w:szCs w:val="32"/>
        </w:rPr>
        <w:t xml:space="preserve"> </w:t>
      </w:r>
      <w:r w:rsidR="00777AA3">
        <w:rPr>
          <w:rFonts w:asciiTheme="majorHAnsi" w:hAnsiTheme="majorHAnsi"/>
          <w:sz w:val="32"/>
          <w:szCs w:val="32"/>
        </w:rPr>
        <w:t xml:space="preserve">kontroly přiměřenosti </w:t>
      </w:r>
      <w:r w:rsidRPr="00FD48F4">
        <w:rPr>
          <w:rFonts w:asciiTheme="majorHAnsi" w:hAnsiTheme="majorHAnsi"/>
          <w:sz w:val="32"/>
          <w:szCs w:val="32"/>
        </w:rPr>
        <w:t xml:space="preserve">podpory na hodnoty </w:t>
      </w:r>
      <w:r w:rsidR="00A8142D">
        <w:rPr>
          <w:rFonts w:asciiTheme="majorHAnsi" w:hAnsiTheme="majorHAnsi"/>
          <w:sz w:val="32"/>
          <w:szCs w:val="32"/>
        </w:rPr>
        <w:t>vnitřního výnosového procenta (</w:t>
      </w:r>
      <w:r w:rsidRPr="00FD48F4">
        <w:rPr>
          <w:rFonts w:asciiTheme="majorHAnsi" w:hAnsiTheme="majorHAnsi"/>
          <w:sz w:val="32"/>
          <w:szCs w:val="32"/>
        </w:rPr>
        <w:t>IRR</w:t>
      </w:r>
      <w:bookmarkEnd w:id="6"/>
      <w:r w:rsidR="00A8142D">
        <w:rPr>
          <w:rFonts w:asciiTheme="majorHAnsi" w:hAnsiTheme="majorHAnsi"/>
          <w:sz w:val="32"/>
          <w:szCs w:val="32"/>
        </w:rPr>
        <w:t>)</w:t>
      </w:r>
    </w:p>
    <w:p w14:paraId="76D17D94" w14:textId="6B2131E4" w:rsidR="00A74BFA" w:rsidRPr="004713EF" w:rsidRDefault="00A74BFA" w:rsidP="004713EF">
      <w:pPr>
        <w:pStyle w:val="Normlnweb"/>
        <w:spacing w:line="276" w:lineRule="auto"/>
        <w:jc w:val="both"/>
        <w:rPr>
          <w:rFonts w:asciiTheme="minorHAnsi" w:hAnsiTheme="minorHAnsi"/>
        </w:rPr>
      </w:pPr>
      <w:r w:rsidRPr="004713EF">
        <w:rPr>
          <w:rFonts w:asciiTheme="minorHAnsi" w:hAnsiTheme="minorHAnsi"/>
        </w:rPr>
        <w:t xml:space="preserve">Hodnoty IRR v rozmezí 6,3 % až 7 % jsou hodnoty </w:t>
      </w:r>
      <w:r w:rsidR="00CF74A1" w:rsidRPr="004713EF">
        <w:rPr>
          <w:rFonts w:asciiTheme="minorHAnsi" w:hAnsiTheme="minorHAnsi"/>
        </w:rPr>
        <w:t xml:space="preserve">nastavené v metodice ERÚ </w:t>
      </w:r>
      <w:r w:rsidR="00810D60" w:rsidRPr="004713EF">
        <w:rPr>
          <w:rFonts w:asciiTheme="minorHAnsi" w:hAnsiTheme="minorHAnsi"/>
        </w:rPr>
        <w:t xml:space="preserve">pro stanovení výše podpory elektřiny z OZE </w:t>
      </w:r>
      <w:r w:rsidR="00CF74A1" w:rsidRPr="004713EF">
        <w:rPr>
          <w:rFonts w:asciiTheme="minorHAnsi" w:hAnsiTheme="minorHAnsi"/>
        </w:rPr>
        <w:t xml:space="preserve">na období 2006 až 2015 a </w:t>
      </w:r>
      <w:r w:rsidRPr="004713EF">
        <w:rPr>
          <w:rFonts w:asciiTheme="minorHAnsi" w:hAnsiTheme="minorHAnsi"/>
        </w:rPr>
        <w:t>používané v tzv. referenčních modelech pro stanovení výše po</w:t>
      </w:r>
      <w:r w:rsidR="00CF74A1" w:rsidRPr="004713EF">
        <w:rPr>
          <w:rFonts w:asciiTheme="minorHAnsi" w:hAnsiTheme="minorHAnsi"/>
        </w:rPr>
        <w:t>dpory, kdy tyto modely používaly</w:t>
      </w:r>
      <w:r w:rsidRPr="004713EF">
        <w:rPr>
          <w:rFonts w:asciiTheme="minorHAnsi" w:hAnsiTheme="minorHAnsi"/>
        </w:rPr>
        <w:t xml:space="preserve"> pro </w:t>
      </w:r>
      <w:r w:rsidR="00CF74A1" w:rsidRPr="004713EF">
        <w:rPr>
          <w:rFonts w:asciiTheme="minorHAnsi" w:hAnsiTheme="minorHAnsi"/>
        </w:rPr>
        <w:t xml:space="preserve">modelový (referenční) projekt </w:t>
      </w:r>
      <w:r w:rsidRPr="004713EF">
        <w:rPr>
          <w:rFonts w:asciiTheme="minorHAnsi" w:hAnsiTheme="minorHAnsi"/>
        </w:rPr>
        <w:t>pouze jeden druh podpory, a to provozní podporu elektřiny z OZE. Referenční modely „</w:t>
      </w:r>
      <w:r w:rsidR="00A52125" w:rsidRPr="004713EF">
        <w:rPr>
          <w:rFonts w:asciiTheme="minorHAnsi" w:hAnsiTheme="minorHAnsi"/>
        </w:rPr>
        <w:t>pracoval</w:t>
      </w:r>
      <w:r w:rsidR="00A52125">
        <w:rPr>
          <w:rFonts w:asciiTheme="minorHAnsi" w:hAnsiTheme="minorHAnsi"/>
        </w:rPr>
        <w:t>y</w:t>
      </w:r>
      <w:r w:rsidRPr="004713EF">
        <w:rPr>
          <w:rFonts w:asciiTheme="minorHAnsi" w:hAnsiTheme="minorHAnsi"/>
        </w:rPr>
        <w:t>“ s definovanými technicko-ekonomickými parametry</w:t>
      </w:r>
      <w:r w:rsidR="00810D60" w:rsidRPr="004713EF">
        <w:rPr>
          <w:rFonts w:asciiTheme="minorHAnsi" w:hAnsiTheme="minorHAnsi"/>
        </w:rPr>
        <w:t>, které byly stanoveny v sekundární legislativě (vyhlášky ERÚ – vyhláška č. 475/2005 Sb. ze dne 30. listopadu 2005,</w:t>
      </w:r>
      <w:r w:rsidR="00A52125">
        <w:rPr>
          <w:rFonts w:asciiTheme="minorHAnsi" w:hAnsiTheme="minorHAnsi"/>
        </w:rPr>
        <w:t xml:space="preserve"> </w:t>
      </w:r>
      <w:r w:rsidR="00810D60" w:rsidRPr="004713EF">
        <w:rPr>
          <w:rFonts w:asciiTheme="minorHAnsi" w:hAnsiTheme="minorHAnsi"/>
        </w:rPr>
        <w:t>kterou se provádějí některá ustanovení zákona o podpoře využívání obnovitelných zdrojů (a její novelizace v roce 2007, 2009, 2010 a 2011, vyhláška č. 347/2012 Sb. ze dne 12. října 2012, kterou se stanoví technicko-ekonomické parametry obnovitelných zdrojů pro výrobu elektřiny a doba životnosti výroben elektřiny z podporovaných zdrojů)</w:t>
      </w:r>
      <w:r w:rsidRPr="004713EF">
        <w:rPr>
          <w:rFonts w:asciiTheme="minorHAnsi" w:hAnsiTheme="minorHAnsi"/>
        </w:rPr>
        <w:t>.</w:t>
      </w:r>
    </w:p>
    <w:p w14:paraId="670F5264" w14:textId="2D56B23B" w:rsidR="00A74BFA" w:rsidRPr="004713EF" w:rsidRDefault="00A74BFA" w:rsidP="004713EF">
      <w:pPr>
        <w:pStyle w:val="Normlnweb"/>
        <w:spacing w:line="276" w:lineRule="auto"/>
        <w:jc w:val="both"/>
        <w:rPr>
          <w:rFonts w:asciiTheme="minorHAnsi" w:hAnsiTheme="minorHAnsi"/>
        </w:rPr>
      </w:pPr>
      <w:r w:rsidRPr="004713EF">
        <w:rPr>
          <w:rFonts w:asciiTheme="minorHAnsi" w:hAnsiTheme="minorHAnsi"/>
        </w:rPr>
        <w:t>Konkrétní výrobny elektřiny samozřejmě nemusely být stejné jako výrobna elektřiny v referenčním modelu a tedy u konkrétních elektráren byly hodnoty IRR různé od hodnot používaných v referenčním modelu. Z hlediska podnikatelského přístupu se však dá očekávat, že většina realizovaných projektů byla realizována se stejnými nebo spíše lepšími technicko-ekonomickými parametry než se kterými pracoval referenční model</w:t>
      </w:r>
      <w:r w:rsidR="00810D60" w:rsidRPr="004713EF">
        <w:rPr>
          <w:rFonts w:asciiTheme="minorHAnsi" w:hAnsiTheme="minorHAnsi"/>
        </w:rPr>
        <w:t xml:space="preserve"> pro nastavování výše podpory</w:t>
      </w:r>
      <w:r w:rsidRPr="004713EF">
        <w:rPr>
          <w:rFonts w:asciiTheme="minorHAnsi" w:hAnsiTheme="minorHAnsi"/>
        </w:rPr>
        <w:t>. To zřejmě platí u projektů větších rozsahů, kterými jsou především výroba elektřiny z bioplynu nebo biomasy</w:t>
      </w:r>
      <w:r w:rsidR="0080265C">
        <w:rPr>
          <w:rFonts w:asciiTheme="minorHAnsi" w:hAnsiTheme="minorHAnsi"/>
        </w:rPr>
        <w:t>,</w:t>
      </w:r>
      <w:r w:rsidR="0080265C" w:rsidRPr="004713EF" w:rsidDel="0080265C">
        <w:rPr>
          <w:rFonts w:asciiTheme="minorHAnsi" w:hAnsiTheme="minorHAnsi"/>
        </w:rPr>
        <w:t xml:space="preserve"> </w:t>
      </w:r>
      <w:r w:rsidRPr="004713EF">
        <w:rPr>
          <w:rFonts w:asciiTheme="minorHAnsi" w:hAnsiTheme="minorHAnsi"/>
        </w:rPr>
        <w:t xml:space="preserve"> kde docházelo nejčastěji ke kumulaci několika druhů podpor (podpory elektřiny z OZE s dalšími druhy provozních podpor anebo s investiční podporou).</w:t>
      </w:r>
    </w:p>
    <w:p w14:paraId="037ECA01" w14:textId="426A1AB5" w:rsidR="00A74BFA" w:rsidRPr="004713EF" w:rsidRDefault="00A74BFA" w:rsidP="004713EF">
      <w:pPr>
        <w:pStyle w:val="Normlnweb"/>
        <w:spacing w:line="276" w:lineRule="auto"/>
        <w:jc w:val="both"/>
        <w:rPr>
          <w:rFonts w:asciiTheme="minorHAnsi" w:hAnsiTheme="minorHAnsi"/>
        </w:rPr>
      </w:pPr>
      <w:r w:rsidRPr="004713EF">
        <w:rPr>
          <w:rFonts w:asciiTheme="minorHAnsi" w:hAnsiTheme="minorHAnsi"/>
        </w:rPr>
        <w:t xml:space="preserve">Jelikož poskytování podpory elektřiny z OZE by mělo zaručit dosažení hodnoty IRR ve výši 6,3 až 7 %, pak další dodatečné finanční zdroje (příjmy) generované například právě jinými formami podpor, než je pouze </w:t>
      </w:r>
      <w:r w:rsidR="00810D60" w:rsidRPr="004713EF">
        <w:rPr>
          <w:rFonts w:asciiTheme="minorHAnsi" w:hAnsiTheme="minorHAnsi"/>
        </w:rPr>
        <w:t>podpora elektřiny z OZE, zvyšují</w:t>
      </w:r>
      <w:r w:rsidRPr="004713EF">
        <w:rPr>
          <w:rFonts w:asciiTheme="minorHAnsi" w:hAnsiTheme="minorHAnsi"/>
        </w:rPr>
        <w:t xml:space="preserve"> hodnotu IRR u konkrétních elektráren.</w:t>
      </w:r>
    </w:p>
    <w:p w14:paraId="7E67320B" w14:textId="1C02BABB" w:rsidR="00A74BFA" w:rsidRPr="004713EF" w:rsidRDefault="00A74BFA" w:rsidP="004713EF">
      <w:pPr>
        <w:pStyle w:val="Normlnweb"/>
        <w:spacing w:line="276" w:lineRule="auto"/>
        <w:jc w:val="both"/>
        <w:rPr>
          <w:rFonts w:asciiTheme="minorHAnsi" w:hAnsiTheme="minorHAnsi"/>
        </w:rPr>
      </w:pPr>
      <w:r w:rsidRPr="004713EF">
        <w:rPr>
          <w:rFonts w:asciiTheme="minorHAnsi" w:hAnsiTheme="minorHAnsi"/>
        </w:rPr>
        <w:lastRenderedPageBreak/>
        <w:t xml:space="preserve">V rozhodnutí </w:t>
      </w:r>
      <w:r w:rsidR="00BD4871">
        <w:rPr>
          <w:rFonts w:asciiTheme="minorHAnsi" w:hAnsiTheme="minorHAnsi"/>
        </w:rPr>
        <w:t xml:space="preserve">Evropské komise </w:t>
      </w:r>
      <w:r w:rsidRPr="004713EF">
        <w:rPr>
          <w:rFonts w:asciiTheme="minorHAnsi" w:hAnsiTheme="minorHAnsi"/>
        </w:rPr>
        <w:t xml:space="preserve">SA. 40171 pro zdroje uvedené do provozu v období 1.1.2006 do 31.12.2012 </w:t>
      </w:r>
      <w:r w:rsidR="0080265C">
        <w:rPr>
          <w:rFonts w:asciiTheme="minorHAnsi" w:hAnsiTheme="minorHAnsi"/>
        </w:rPr>
        <w:t>je uvedeno</w:t>
      </w:r>
      <w:r w:rsidRPr="004713EF">
        <w:rPr>
          <w:rFonts w:asciiTheme="minorHAnsi" w:hAnsiTheme="minorHAnsi"/>
        </w:rPr>
        <w:t>, že v případě souběhu podpory elektřiny z OZE s jinými druhy podpor musejí (všechny) výrobny elektřiny, kde nastal tento souběh podpor</w:t>
      </w:r>
      <w:r w:rsidR="00A52125">
        <w:rPr>
          <w:rFonts w:asciiTheme="minorHAnsi" w:hAnsiTheme="minorHAnsi"/>
        </w:rPr>
        <w:t>,</w:t>
      </w:r>
      <w:r w:rsidRPr="004713EF">
        <w:rPr>
          <w:rFonts w:asciiTheme="minorHAnsi" w:hAnsiTheme="minorHAnsi"/>
        </w:rPr>
        <w:t xml:space="preserve"> projít tzv. individuální kontrolou, zda z důvodu souběhu několika podpor nedochází k překompenzaci podpory udělené konkrétní výrobně. </w:t>
      </w:r>
    </w:p>
    <w:p w14:paraId="63695C11" w14:textId="2FC2681C" w:rsidR="00A74BFA" w:rsidRPr="004713EF" w:rsidRDefault="00A74BFA" w:rsidP="004713EF">
      <w:pPr>
        <w:pStyle w:val="Normlnweb"/>
        <w:spacing w:line="276" w:lineRule="auto"/>
        <w:jc w:val="both"/>
        <w:rPr>
          <w:rFonts w:asciiTheme="minorHAnsi" w:hAnsiTheme="minorHAnsi"/>
        </w:rPr>
      </w:pPr>
      <w:r w:rsidRPr="004713EF">
        <w:rPr>
          <w:rFonts w:asciiTheme="minorHAnsi" w:hAnsiTheme="minorHAnsi"/>
        </w:rPr>
        <w:t xml:space="preserve">Evropská komise vymezila přiměřenost podpory u souběhu podpor odkazem na maximální hodnoty IRR uvedené v tabulce č. 3. Tedy dosahování IRR nad uvedenou hodnotu IRR v tabulce je považováno  za nepřiměřenou podporu.  Podle bodu 58 rozhodnutí </w:t>
      </w:r>
      <w:r w:rsidR="00BD4871">
        <w:rPr>
          <w:rFonts w:asciiTheme="minorHAnsi" w:hAnsiTheme="minorHAnsi"/>
        </w:rPr>
        <w:t xml:space="preserve">Evropské komise </w:t>
      </w:r>
      <w:r w:rsidRPr="004713EF">
        <w:rPr>
          <w:rFonts w:asciiTheme="minorHAnsi" w:hAnsiTheme="minorHAnsi"/>
        </w:rPr>
        <w:t>SA. 40171, pokud je hodnota IRR na</w:t>
      </w:r>
      <w:r w:rsidR="00810D60" w:rsidRPr="004713EF">
        <w:rPr>
          <w:rFonts w:asciiTheme="minorHAnsi" w:hAnsiTheme="minorHAnsi"/>
        </w:rPr>
        <w:t>d</w:t>
      </w:r>
      <w:r w:rsidRPr="004713EF">
        <w:rPr>
          <w:rFonts w:asciiTheme="minorHAnsi" w:hAnsiTheme="minorHAnsi"/>
        </w:rPr>
        <w:t xml:space="preserve"> uvedenou hodnotou v tabulce, pak musejí české orgány příjemci buď snížit výši budoucí podpory, zkrátit dobu, po kterou bude podpora vyplácena, nebo, v nutných případech, nabydou zpět část podpory, která nadměrnou kompenzaci způsobila. </w:t>
      </w:r>
    </w:p>
    <w:p w14:paraId="6909BE43" w14:textId="687E32A4" w:rsidR="00A74BFA" w:rsidRDefault="00A74BFA" w:rsidP="004713EF">
      <w:pPr>
        <w:pStyle w:val="Normlnweb"/>
        <w:spacing w:line="276" w:lineRule="auto"/>
        <w:jc w:val="both"/>
        <w:rPr>
          <w:rFonts w:ascii="Calibri" w:hAnsi="Calibri"/>
          <w:lang w:eastAsia="en-US"/>
        </w:rPr>
      </w:pPr>
      <w:r w:rsidRPr="004713EF">
        <w:rPr>
          <w:rFonts w:asciiTheme="minorHAnsi" w:hAnsiTheme="minorHAnsi"/>
        </w:rPr>
        <w:t xml:space="preserve">Rozdíl mezi hodnotami 9,5 % a 7 % u výrobny elektřiny z biomasy resp. 10,6 % a 7 % u výrobny elektřiny z bioplynu </w:t>
      </w:r>
      <w:r w:rsidR="0080265C">
        <w:rPr>
          <w:rFonts w:asciiTheme="minorHAnsi" w:hAnsiTheme="minorHAnsi"/>
        </w:rPr>
        <w:t xml:space="preserve">resp. 8,4 % a 7 % </w:t>
      </w:r>
      <w:r w:rsidR="008804DE">
        <w:rPr>
          <w:rFonts w:asciiTheme="minorHAnsi" w:hAnsiTheme="minorHAnsi"/>
        </w:rPr>
        <w:t xml:space="preserve">u </w:t>
      </w:r>
      <w:r w:rsidR="00C771C1">
        <w:rPr>
          <w:rFonts w:asciiTheme="minorHAnsi" w:hAnsiTheme="minorHAnsi"/>
        </w:rPr>
        <w:t xml:space="preserve">výroby elektřiny z </w:t>
      </w:r>
      <w:r w:rsidR="008804DE">
        <w:rPr>
          <w:rFonts w:asciiTheme="minorHAnsi" w:hAnsiTheme="minorHAnsi"/>
        </w:rPr>
        <w:t xml:space="preserve">FVE </w:t>
      </w:r>
      <w:r w:rsidR="004C3CD9" w:rsidRPr="004713EF">
        <w:rPr>
          <w:rFonts w:asciiTheme="minorHAnsi" w:hAnsiTheme="minorHAnsi"/>
        </w:rPr>
        <w:t xml:space="preserve">tak fakticky znamená </w:t>
      </w:r>
      <w:r w:rsidR="00810D60" w:rsidRPr="004713EF">
        <w:rPr>
          <w:rFonts w:asciiTheme="minorHAnsi" w:hAnsiTheme="minorHAnsi"/>
        </w:rPr>
        <w:t xml:space="preserve">prostor pro </w:t>
      </w:r>
      <w:r w:rsidR="004C3CD9" w:rsidRPr="004713EF">
        <w:rPr>
          <w:rFonts w:asciiTheme="minorHAnsi" w:hAnsiTheme="minorHAnsi"/>
        </w:rPr>
        <w:t>umožnění</w:t>
      </w:r>
      <w:r w:rsidRPr="004713EF">
        <w:rPr>
          <w:rFonts w:asciiTheme="minorHAnsi" w:hAnsiTheme="minorHAnsi"/>
        </w:rPr>
        <w:t xml:space="preserve"> alespoň částečné</w:t>
      </w:r>
      <w:r w:rsidR="00C771C1">
        <w:rPr>
          <w:rFonts w:asciiTheme="minorHAnsi" w:hAnsiTheme="minorHAnsi"/>
        </w:rPr>
        <w:t xml:space="preserve"> (</w:t>
      </w:r>
      <w:r w:rsidRPr="004713EF">
        <w:rPr>
          <w:rFonts w:asciiTheme="minorHAnsi" w:hAnsiTheme="minorHAnsi"/>
        </w:rPr>
        <w:t>eventuálně plné</w:t>
      </w:r>
      <w:r w:rsidR="00C771C1">
        <w:rPr>
          <w:rFonts w:asciiTheme="minorHAnsi" w:hAnsiTheme="minorHAnsi"/>
        </w:rPr>
        <w:t>)</w:t>
      </w:r>
      <w:r w:rsidRPr="004713EF">
        <w:rPr>
          <w:rFonts w:asciiTheme="minorHAnsi" w:hAnsiTheme="minorHAnsi"/>
        </w:rPr>
        <w:t xml:space="preserve"> </w:t>
      </w:r>
      <w:r w:rsidRPr="004713EF">
        <w:rPr>
          <w:rFonts w:ascii="Calibri" w:hAnsi="Calibri"/>
          <w:lang w:eastAsia="en-US"/>
        </w:rPr>
        <w:t>kumulace několika provozních podpor</w:t>
      </w:r>
      <w:r w:rsidR="0080265C">
        <w:rPr>
          <w:rFonts w:ascii="Calibri" w:hAnsi="Calibri"/>
          <w:lang w:eastAsia="en-US"/>
        </w:rPr>
        <w:t xml:space="preserve"> anebo kumulaci podpory elektřiny z OZE s investiční podporou.</w:t>
      </w:r>
      <w:r w:rsidRPr="004713EF">
        <w:rPr>
          <w:rFonts w:ascii="Calibri" w:hAnsi="Calibri"/>
          <w:lang w:eastAsia="en-US"/>
        </w:rPr>
        <w:t xml:space="preserve"> </w:t>
      </w:r>
      <w:r w:rsidR="0080265C">
        <w:rPr>
          <w:rFonts w:ascii="Calibri" w:hAnsi="Calibri"/>
          <w:lang w:eastAsia="en-US"/>
        </w:rPr>
        <w:t xml:space="preserve">V případě výroby elektřiny z biomasy a výroby elektřiny z bioplynu se jednalo </w:t>
      </w:r>
      <w:r w:rsidRPr="004713EF">
        <w:rPr>
          <w:rFonts w:ascii="Calibri" w:hAnsi="Calibri"/>
          <w:lang w:eastAsia="en-US"/>
        </w:rPr>
        <w:t>především podpory elektřiny z KVET, která se uplatňovala u některých výroben elektřiny z biomasy nebo bioplynu avšak výše této podpory byla finančně minimalizována -</w:t>
      </w:r>
      <w:r w:rsidR="00CF74A1" w:rsidRPr="004713EF">
        <w:rPr>
          <w:rFonts w:ascii="Calibri" w:hAnsi="Calibri"/>
          <w:lang w:eastAsia="en-US"/>
        </w:rPr>
        <w:t xml:space="preserve"> </w:t>
      </w:r>
      <w:r w:rsidRPr="004713EF">
        <w:rPr>
          <w:rFonts w:ascii="Calibri" w:hAnsi="Calibri"/>
          <w:lang w:eastAsia="en-US"/>
        </w:rPr>
        <w:t>výše podpory elektřiny z KVET v těchto případech odpovídala 1 % výše podpory elektřiny z OZE – tato podpora však měla velký energetický efekt v rámci úspory primárních energetických zdrojů a tedy ochrany životního prostředí) nebo kumulaci s investiční podporou (kdy řada investičních podpor mohla být v </w:t>
      </w:r>
      <w:r w:rsidR="00105EC7" w:rsidRPr="004713EF">
        <w:rPr>
          <w:rFonts w:ascii="Calibri" w:hAnsi="Calibri"/>
          <w:lang w:eastAsia="en-US"/>
        </w:rPr>
        <w:t>některých</w:t>
      </w:r>
      <w:r w:rsidRPr="004713EF">
        <w:rPr>
          <w:rFonts w:ascii="Calibri" w:hAnsi="Calibri"/>
          <w:lang w:eastAsia="en-US"/>
        </w:rPr>
        <w:t xml:space="preserve"> případ</w:t>
      </w:r>
      <w:r w:rsidR="00105EC7" w:rsidRPr="004713EF">
        <w:rPr>
          <w:rFonts w:ascii="Calibri" w:hAnsi="Calibri"/>
          <w:lang w:eastAsia="en-US"/>
        </w:rPr>
        <w:t>ech</w:t>
      </w:r>
      <w:r w:rsidRPr="004713EF">
        <w:rPr>
          <w:rFonts w:ascii="Calibri" w:hAnsi="Calibri"/>
          <w:lang w:eastAsia="en-US"/>
        </w:rPr>
        <w:t xml:space="preserve"> poskytována jako „kompenzace“ zvýšených investičních nákladů vyvolaných například </w:t>
      </w:r>
      <w:r w:rsidR="00105EC7" w:rsidRPr="004713EF">
        <w:rPr>
          <w:rFonts w:ascii="Calibri" w:hAnsi="Calibri"/>
          <w:lang w:eastAsia="en-US"/>
        </w:rPr>
        <w:t>požadavky u</w:t>
      </w:r>
      <w:r w:rsidRPr="004713EF">
        <w:rPr>
          <w:rFonts w:ascii="Calibri" w:hAnsi="Calibri"/>
          <w:lang w:eastAsia="en-US"/>
        </w:rPr>
        <w:t> příslušných dotačních program</w:t>
      </w:r>
      <w:r w:rsidR="00105EC7" w:rsidRPr="004713EF">
        <w:rPr>
          <w:rFonts w:ascii="Calibri" w:hAnsi="Calibri"/>
          <w:lang w:eastAsia="en-US"/>
        </w:rPr>
        <w:t>ů</w:t>
      </w:r>
      <w:r w:rsidRPr="004713EF">
        <w:rPr>
          <w:rFonts w:ascii="Calibri" w:hAnsi="Calibri"/>
          <w:lang w:eastAsia="en-US"/>
        </w:rPr>
        <w:t xml:space="preserve"> nad rámec </w:t>
      </w:r>
      <w:r w:rsidR="00105EC7" w:rsidRPr="004713EF">
        <w:rPr>
          <w:rFonts w:ascii="Calibri" w:hAnsi="Calibri"/>
          <w:lang w:eastAsia="en-US"/>
        </w:rPr>
        <w:t>technicko-ekonomických parametrů referenčního modelu.</w:t>
      </w:r>
    </w:p>
    <w:p w14:paraId="6305E9F7" w14:textId="77777777" w:rsidR="00803792" w:rsidRDefault="00803792" w:rsidP="004713EF">
      <w:pPr>
        <w:pStyle w:val="Normlnweb"/>
        <w:spacing w:line="276" w:lineRule="auto"/>
        <w:jc w:val="both"/>
        <w:rPr>
          <w:rFonts w:ascii="Calibri" w:hAnsi="Calibri"/>
          <w:lang w:eastAsia="en-US"/>
        </w:rPr>
      </w:pPr>
    </w:p>
    <w:p w14:paraId="74ED8BEF" w14:textId="77777777" w:rsidR="00803792" w:rsidRDefault="00803792" w:rsidP="004713EF">
      <w:pPr>
        <w:pStyle w:val="Normlnweb"/>
        <w:spacing w:line="276" w:lineRule="auto"/>
        <w:jc w:val="both"/>
        <w:rPr>
          <w:rFonts w:ascii="Calibri" w:hAnsi="Calibri"/>
          <w:lang w:eastAsia="en-US"/>
        </w:rPr>
      </w:pPr>
    </w:p>
    <w:p w14:paraId="581E3C8B" w14:textId="77777777" w:rsidR="00803792" w:rsidRDefault="00803792" w:rsidP="004713EF">
      <w:pPr>
        <w:pStyle w:val="Normlnweb"/>
        <w:spacing w:line="276" w:lineRule="auto"/>
        <w:jc w:val="both"/>
        <w:rPr>
          <w:rFonts w:ascii="Calibri" w:hAnsi="Calibri"/>
          <w:lang w:eastAsia="en-US"/>
        </w:rPr>
      </w:pPr>
    </w:p>
    <w:p w14:paraId="1B058FEB" w14:textId="77777777" w:rsidR="00803792" w:rsidRDefault="00803792" w:rsidP="004713EF">
      <w:pPr>
        <w:pStyle w:val="Normlnweb"/>
        <w:spacing w:line="276" w:lineRule="auto"/>
        <w:jc w:val="both"/>
        <w:rPr>
          <w:rFonts w:ascii="Calibri" w:hAnsi="Calibri"/>
          <w:lang w:eastAsia="en-US"/>
        </w:rPr>
      </w:pPr>
    </w:p>
    <w:p w14:paraId="3F6EE1AB" w14:textId="77777777" w:rsidR="00803792" w:rsidRDefault="00803792" w:rsidP="004713EF">
      <w:pPr>
        <w:pStyle w:val="Normlnweb"/>
        <w:spacing w:line="276" w:lineRule="auto"/>
        <w:jc w:val="both"/>
        <w:rPr>
          <w:rFonts w:ascii="Calibri" w:hAnsi="Calibri"/>
          <w:lang w:eastAsia="en-US"/>
        </w:rPr>
      </w:pPr>
    </w:p>
    <w:p w14:paraId="1BD438E9" w14:textId="77777777" w:rsidR="00803792" w:rsidRDefault="00803792" w:rsidP="004713EF">
      <w:pPr>
        <w:pStyle w:val="Normlnweb"/>
        <w:spacing w:line="276" w:lineRule="auto"/>
        <w:jc w:val="both"/>
        <w:rPr>
          <w:rFonts w:ascii="Calibri" w:hAnsi="Calibri"/>
          <w:lang w:eastAsia="en-US"/>
        </w:rPr>
      </w:pPr>
    </w:p>
    <w:p w14:paraId="379809AD" w14:textId="77777777" w:rsidR="00803792" w:rsidRDefault="00803792" w:rsidP="004713EF">
      <w:pPr>
        <w:pStyle w:val="Normlnweb"/>
        <w:spacing w:line="276" w:lineRule="auto"/>
        <w:jc w:val="both"/>
        <w:rPr>
          <w:rFonts w:ascii="Calibri" w:hAnsi="Calibri"/>
          <w:lang w:eastAsia="en-US"/>
        </w:rPr>
      </w:pPr>
    </w:p>
    <w:p w14:paraId="5EB8132E" w14:textId="77777777" w:rsidR="00803792" w:rsidRDefault="00803792" w:rsidP="004713EF">
      <w:pPr>
        <w:pStyle w:val="Normlnweb"/>
        <w:spacing w:line="276" w:lineRule="auto"/>
        <w:jc w:val="both"/>
        <w:rPr>
          <w:rFonts w:ascii="Calibri" w:hAnsi="Calibri"/>
          <w:lang w:eastAsia="en-US"/>
        </w:rPr>
      </w:pPr>
    </w:p>
    <w:p w14:paraId="56C4A3AD" w14:textId="77777777" w:rsidR="00803792" w:rsidRDefault="00803792" w:rsidP="004713EF">
      <w:pPr>
        <w:pStyle w:val="Normlnweb"/>
        <w:spacing w:line="276" w:lineRule="auto"/>
        <w:jc w:val="both"/>
        <w:rPr>
          <w:rFonts w:ascii="Calibri" w:hAnsi="Calibri"/>
          <w:lang w:eastAsia="en-US"/>
        </w:rPr>
      </w:pPr>
    </w:p>
    <w:p w14:paraId="50C80720" w14:textId="77777777" w:rsidR="00803792" w:rsidRDefault="00803792" w:rsidP="004713EF">
      <w:pPr>
        <w:pStyle w:val="Normlnweb"/>
        <w:spacing w:line="276" w:lineRule="auto"/>
        <w:jc w:val="both"/>
        <w:rPr>
          <w:rFonts w:ascii="Calibri" w:hAnsi="Calibri"/>
          <w:lang w:eastAsia="en-US"/>
        </w:rPr>
      </w:pPr>
    </w:p>
    <w:p w14:paraId="24C64A51" w14:textId="77777777" w:rsidR="00803792" w:rsidRDefault="00803792" w:rsidP="004713EF">
      <w:pPr>
        <w:pStyle w:val="Normlnweb"/>
        <w:spacing w:line="276" w:lineRule="auto"/>
        <w:jc w:val="both"/>
        <w:rPr>
          <w:rFonts w:ascii="Calibri" w:hAnsi="Calibri"/>
          <w:lang w:eastAsia="en-US"/>
        </w:rPr>
      </w:pPr>
    </w:p>
    <w:p w14:paraId="661DCA48" w14:textId="77777777" w:rsidR="00803792" w:rsidRDefault="00803792" w:rsidP="004713EF">
      <w:pPr>
        <w:pStyle w:val="Normlnweb"/>
        <w:spacing w:line="276" w:lineRule="auto"/>
        <w:jc w:val="both"/>
        <w:rPr>
          <w:rFonts w:ascii="Calibri" w:hAnsi="Calibri"/>
          <w:lang w:eastAsia="en-US"/>
        </w:rPr>
      </w:pPr>
    </w:p>
    <w:p w14:paraId="7C0D2909" w14:textId="16EC2611" w:rsidR="009D54B2" w:rsidRPr="00FD48F4" w:rsidRDefault="009D54B2" w:rsidP="000B4301">
      <w:pPr>
        <w:pStyle w:val="Nadpis1"/>
        <w:numPr>
          <w:ilvl w:val="0"/>
          <w:numId w:val="24"/>
        </w:numPr>
        <w:ind w:left="426" w:hanging="426"/>
        <w:jc w:val="both"/>
        <w:rPr>
          <w:rFonts w:asciiTheme="majorHAnsi" w:hAnsiTheme="majorHAnsi"/>
          <w:b w:val="0"/>
          <w:sz w:val="32"/>
          <w:szCs w:val="32"/>
        </w:rPr>
      </w:pPr>
      <w:bookmarkStart w:id="7" w:name="_Toc476517921"/>
      <w:r w:rsidRPr="00FD48F4">
        <w:rPr>
          <w:rFonts w:asciiTheme="majorHAnsi" w:hAnsiTheme="majorHAnsi"/>
          <w:sz w:val="32"/>
          <w:szCs w:val="32"/>
        </w:rPr>
        <w:t xml:space="preserve">Návrh </w:t>
      </w:r>
      <w:r w:rsidR="00724D38" w:rsidRPr="00FD48F4">
        <w:rPr>
          <w:rFonts w:asciiTheme="majorHAnsi" w:hAnsiTheme="majorHAnsi"/>
          <w:sz w:val="32"/>
          <w:szCs w:val="32"/>
        </w:rPr>
        <w:t xml:space="preserve">postupu </w:t>
      </w:r>
      <w:r w:rsidRPr="00FD48F4">
        <w:rPr>
          <w:rFonts w:asciiTheme="majorHAnsi" w:hAnsiTheme="majorHAnsi"/>
          <w:sz w:val="32"/>
          <w:szCs w:val="32"/>
        </w:rPr>
        <w:t>aplikace závazku</w:t>
      </w:r>
      <w:r w:rsidR="00A8142D">
        <w:rPr>
          <w:rFonts w:asciiTheme="majorHAnsi" w:hAnsiTheme="majorHAnsi"/>
          <w:sz w:val="32"/>
          <w:szCs w:val="32"/>
        </w:rPr>
        <w:t xml:space="preserve"> pro ČR k </w:t>
      </w:r>
      <w:r w:rsidR="00156156">
        <w:rPr>
          <w:rFonts w:asciiTheme="majorHAnsi" w:hAnsiTheme="majorHAnsi"/>
          <w:sz w:val="32"/>
          <w:szCs w:val="32"/>
        </w:rPr>
        <w:t xml:space="preserve">mechanismu </w:t>
      </w:r>
      <w:r w:rsidR="00777AA3">
        <w:rPr>
          <w:rFonts w:asciiTheme="majorHAnsi" w:hAnsiTheme="majorHAnsi"/>
          <w:sz w:val="32"/>
          <w:szCs w:val="32"/>
        </w:rPr>
        <w:t xml:space="preserve">kontroly přiměřenosti </w:t>
      </w:r>
      <w:r w:rsidRPr="00FD48F4">
        <w:rPr>
          <w:rFonts w:asciiTheme="majorHAnsi" w:hAnsiTheme="majorHAnsi"/>
          <w:sz w:val="32"/>
          <w:szCs w:val="32"/>
        </w:rPr>
        <w:t>podpory</w:t>
      </w:r>
      <w:bookmarkEnd w:id="7"/>
    </w:p>
    <w:p w14:paraId="1FEC4764" w14:textId="79915991" w:rsidR="009E0D89" w:rsidRDefault="009E0D89" w:rsidP="004713EF">
      <w:pPr>
        <w:tabs>
          <w:tab w:val="left" w:pos="0"/>
        </w:tabs>
        <w:overflowPunct/>
        <w:autoSpaceDE/>
        <w:autoSpaceDN/>
        <w:adjustRightInd/>
        <w:spacing w:before="100" w:beforeAutospacing="1" w:after="100" w:afterAutospacing="1" w:line="276" w:lineRule="auto"/>
        <w:jc w:val="both"/>
        <w:textAlignment w:val="auto"/>
        <w:rPr>
          <w:sz w:val="24"/>
          <w:szCs w:val="24"/>
        </w:rPr>
      </w:pPr>
      <w:r>
        <w:rPr>
          <w:sz w:val="24"/>
          <w:szCs w:val="24"/>
        </w:rPr>
        <w:t xml:space="preserve">a)  Závazek, týkající se </w:t>
      </w:r>
      <w:r w:rsidR="00810D60">
        <w:rPr>
          <w:sz w:val="24"/>
          <w:szCs w:val="24"/>
        </w:rPr>
        <w:t>kontrolního mech</w:t>
      </w:r>
      <w:r w:rsidR="00214129">
        <w:rPr>
          <w:sz w:val="24"/>
          <w:szCs w:val="24"/>
        </w:rPr>
        <w:t>a</w:t>
      </w:r>
      <w:r w:rsidR="00810D60">
        <w:rPr>
          <w:sz w:val="24"/>
          <w:szCs w:val="24"/>
        </w:rPr>
        <w:t xml:space="preserve">nismu na </w:t>
      </w:r>
      <w:r>
        <w:rPr>
          <w:sz w:val="24"/>
          <w:szCs w:val="24"/>
        </w:rPr>
        <w:t>překompenzace podpory aplikovat pouze na zdroje, které spad</w:t>
      </w:r>
      <w:r w:rsidR="00724D38">
        <w:rPr>
          <w:sz w:val="24"/>
          <w:szCs w:val="24"/>
        </w:rPr>
        <w:t>a</w:t>
      </w:r>
      <w:r>
        <w:rPr>
          <w:sz w:val="24"/>
          <w:szCs w:val="24"/>
        </w:rPr>
        <w:t xml:space="preserve">jí pod rozhodnutí </w:t>
      </w:r>
      <w:r w:rsidR="00BD4871">
        <w:rPr>
          <w:sz w:val="24"/>
          <w:szCs w:val="24"/>
        </w:rPr>
        <w:t xml:space="preserve">Evropské komise </w:t>
      </w:r>
      <w:r>
        <w:rPr>
          <w:sz w:val="24"/>
          <w:szCs w:val="24"/>
        </w:rPr>
        <w:t xml:space="preserve">SA.35177 (OZE uvedené do provozu od 1.1.2013 do 31.12.2015) a pod rozhodnutí </w:t>
      </w:r>
      <w:r w:rsidR="00BD4871">
        <w:rPr>
          <w:sz w:val="24"/>
          <w:szCs w:val="24"/>
        </w:rPr>
        <w:t xml:space="preserve">Evropské komise </w:t>
      </w:r>
      <w:r>
        <w:rPr>
          <w:sz w:val="24"/>
          <w:szCs w:val="24"/>
        </w:rPr>
        <w:t>SA.40171 (OZE uvedené do provozu od 1.1.2006 do 31.12.2012)</w:t>
      </w:r>
      <w:r w:rsidR="0080265C">
        <w:rPr>
          <w:sz w:val="24"/>
          <w:szCs w:val="24"/>
        </w:rPr>
        <w:t>.</w:t>
      </w:r>
    </w:p>
    <w:p w14:paraId="684C76E2" w14:textId="5020BB49" w:rsidR="00460B19" w:rsidRPr="00803792" w:rsidRDefault="0080265C" w:rsidP="004713EF">
      <w:pPr>
        <w:tabs>
          <w:tab w:val="left" w:pos="0"/>
        </w:tabs>
        <w:overflowPunct/>
        <w:autoSpaceDE/>
        <w:autoSpaceDN/>
        <w:adjustRightInd/>
        <w:spacing w:before="100" w:beforeAutospacing="1" w:after="100" w:afterAutospacing="1" w:line="276" w:lineRule="auto"/>
        <w:jc w:val="both"/>
        <w:textAlignment w:val="auto"/>
        <w:rPr>
          <w:sz w:val="24"/>
          <w:szCs w:val="24"/>
        </w:rPr>
      </w:pPr>
      <w:r>
        <w:rPr>
          <w:sz w:val="24"/>
          <w:szCs w:val="24"/>
        </w:rPr>
        <w:t>b)  Z</w:t>
      </w:r>
      <w:r w:rsidRPr="00803792">
        <w:rPr>
          <w:sz w:val="24"/>
          <w:szCs w:val="24"/>
        </w:rPr>
        <w:t>ávazek na kontrolního mech</w:t>
      </w:r>
      <w:r w:rsidR="00214129">
        <w:rPr>
          <w:sz w:val="24"/>
          <w:szCs w:val="24"/>
        </w:rPr>
        <w:t>a</w:t>
      </w:r>
      <w:r w:rsidRPr="00803792">
        <w:rPr>
          <w:sz w:val="24"/>
          <w:szCs w:val="24"/>
        </w:rPr>
        <w:t xml:space="preserve">nismu na překompenzace podpory v případech kdy bylo zahájeno poskytování podpory před vydáním rozhodnutí Evropské komise </w:t>
      </w:r>
      <w:r w:rsidR="005F5C17" w:rsidRPr="00803792">
        <w:rPr>
          <w:sz w:val="24"/>
          <w:szCs w:val="24"/>
        </w:rPr>
        <w:t xml:space="preserve">řešit jednotným a stejným způsobem. Na všechny zdroje OZE uvedené do provozu od 1. ledna 2006 do 31. prosince 2012 i OZE uvedené do provozu od 1. ledna 2013 do 31. prosince 2015 (případně na zdroje KVET uvedené do provozu od 1. ledna 2013 do 31. prosince 2015, kdy rozhodnutí Evropské komise bude vydáno v průběhu roku 2017) aplikovat jednotně závazek zavedený v řízení SA. 40171, jelikož je třeba v rámci textů rozhodnutí Evropské komise přistupovat ke všem druhům OZE </w:t>
      </w:r>
      <w:r w:rsidR="00214129">
        <w:rPr>
          <w:sz w:val="24"/>
          <w:szCs w:val="24"/>
        </w:rPr>
        <w:t>rovnocenně</w:t>
      </w:r>
      <w:r w:rsidR="005F5C17" w:rsidRPr="00803792">
        <w:rPr>
          <w:sz w:val="24"/>
          <w:szCs w:val="24"/>
        </w:rPr>
        <w:t>.</w:t>
      </w:r>
      <w:r w:rsidR="00460B19" w:rsidRPr="00803792">
        <w:rPr>
          <w:sz w:val="24"/>
          <w:szCs w:val="24"/>
        </w:rPr>
        <w:t xml:space="preserve"> </w:t>
      </w:r>
      <w:r w:rsidR="00460B19" w:rsidRPr="00803792">
        <w:rPr>
          <w:rFonts w:ascii="Calibri" w:hAnsi="Calibri"/>
          <w:sz w:val="24"/>
          <w:szCs w:val="24"/>
          <w:lang w:eastAsia="en-US"/>
        </w:rPr>
        <w:t xml:space="preserve">Pro všechny podporované zdroje (OZE, KVET, DEZ) je potřeba zavést jeden stejný způsob kontroly překompenzace podpory (možnosti byly v podstatě dvě - 1. přes maximální hodnotu IRR nebo 2. přes 15-letou návratnost investic), jelikož různé přístupy jenom z titulu časového uvádění zdrojů do provozu, jsou těžko odůvodnitelné. Jestliže v </w:t>
      </w:r>
      <w:r w:rsidR="00803792">
        <w:rPr>
          <w:rFonts w:ascii="Calibri" w:hAnsi="Calibri"/>
          <w:sz w:val="24"/>
          <w:szCs w:val="24"/>
          <w:lang w:eastAsia="en-US"/>
        </w:rPr>
        <w:t>rozhodnutí</w:t>
      </w:r>
      <w:r w:rsidR="00803792" w:rsidRPr="00803792">
        <w:rPr>
          <w:rFonts w:ascii="Calibri" w:hAnsi="Calibri"/>
          <w:sz w:val="24"/>
          <w:szCs w:val="24"/>
          <w:lang w:eastAsia="en-US"/>
        </w:rPr>
        <w:t xml:space="preserve"> </w:t>
      </w:r>
      <w:r w:rsidR="00460B19" w:rsidRPr="00803792">
        <w:rPr>
          <w:rFonts w:ascii="Calibri" w:hAnsi="Calibri"/>
          <w:sz w:val="24"/>
          <w:szCs w:val="24"/>
          <w:lang w:eastAsia="en-US"/>
        </w:rPr>
        <w:t xml:space="preserve">Evropské Komise v řízení OZE 2006-2012 (SA. 40171) pokrývající </w:t>
      </w:r>
      <w:r w:rsidR="006063B5">
        <w:rPr>
          <w:rFonts w:ascii="Calibri" w:hAnsi="Calibri"/>
          <w:sz w:val="24"/>
          <w:szCs w:val="24"/>
          <w:lang w:eastAsia="en-US"/>
        </w:rPr>
        <w:t>77</w:t>
      </w:r>
      <w:r w:rsidR="006063B5" w:rsidRPr="00803792">
        <w:rPr>
          <w:rFonts w:ascii="Calibri" w:hAnsi="Calibri"/>
          <w:sz w:val="24"/>
          <w:szCs w:val="24"/>
          <w:lang w:eastAsia="en-US"/>
        </w:rPr>
        <w:t xml:space="preserve"> </w:t>
      </w:r>
      <w:r w:rsidR="00460B19" w:rsidRPr="00803792">
        <w:rPr>
          <w:rFonts w:ascii="Calibri" w:hAnsi="Calibri"/>
          <w:sz w:val="24"/>
          <w:szCs w:val="24"/>
          <w:lang w:eastAsia="en-US"/>
        </w:rPr>
        <w:t xml:space="preserve">% všech podporovaných zdrojů energie </w:t>
      </w:r>
      <w:r w:rsidR="006063B5">
        <w:rPr>
          <w:rFonts w:ascii="Calibri" w:hAnsi="Calibri"/>
          <w:sz w:val="24"/>
          <w:szCs w:val="24"/>
          <w:lang w:eastAsia="en-US"/>
        </w:rPr>
        <w:t xml:space="preserve">na které bylo vydáno rozhodnutí Evropské komise o slučitelnosti podpory pro již poskytovanou podporu </w:t>
      </w:r>
      <w:r w:rsidR="00460B19" w:rsidRPr="00803792">
        <w:rPr>
          <w:rFonts w:ascii="Calibri" w:hAnsi="Calibri"/>
          <w:sz w:val="24"/>
          <w:szCs w:val="24"/>
          <w:lang w:eastAsia="en-US"/>
        </w:rPr>
        <w:t xml:space="preserve">bylo rozhodnuto </w:t>
      </w:r>
      <w:r w:rsidR="006063B5">
        <w:rPr>
          <w:rFonts w:ascii="Calibri" w:hAnsi="Calibri"/>
          <w:sz w:val="24"/>
          <w:szCs w:val="24"/>
          <w:lang w:eastAsia="en-US"/>
        </w:rPr>
        <w:t xml:space="preserve">a zvoleno </w:t>
      </w:r>
      <w:r w:rsidR="00460B19" w:rsidRPr="00803792">
        <w:rPr>
          <w:rFonts w:ascii="Calibri" w:hAnsi="Calibri"/>
          <w:sz w:val="24"/>
          <w:szCs w:val="24"/>
          <w:lang w:eastAsia="en-US"/>
        </w:rPr>
        <w:t xml:space="preserve">Evropskou komisí o provedení kontroly překompenzace </w:t>
      </w:r>
      <w:r w:rsidR="006063B5">
        <w:rPr>
          <w:rFonts w:ascii="Calibri" w:hAnsi="Calibri"/>
          <w:sz w:val="24"/>
          <w:szCs w:val="24"/>
          <w:lang w:eastAsia="en-US"/>
        </w:rPr>
        <w:t>poskytované podpory</w:t>
      </w:r>
      <w:r w:rsidR="00460B19" w:rsidRPr="00803792">
        <w:rPr>
          <w:rFonts w:ascii="Calibri" w:hAnsi="Calibri"/>
          <w:sz w:val="24"/>
          <w:szCs w:val="24"/>
          <w:lang w:eastAsia="en-US"/>
        </w:rPr>
        <w:t> </w:t>
      </w:r>
      <w:r w:rsidR="006063B5" w:rsidRPr="00803792">
        <w:rPr>
          <w:rFonts w:ascii="Calibri" w:hAnsi="Calibri"/>
          <w:sz w:val="24"/>
          <w:szCs w:val="24"/>
          <w:lang w:eastAsia="en-US"/>
        </w:rPr>
        <w:t>p</w:t>
      </w:r>
      <w:r w:rsidR="006063B5">
        <w:rPr>
          <w:rFonts w:ascii="Calibri" w:hAnsi="Calibri"/>
          <w:sz w:val="24"/>
          <w:szCs w:val="24"/>
          <w:lang w:eastAsia="en-US"/>
        </w:rPr>
        <w:t>rostřednictvím</w:t>
      </w:r>
      <w:r w:rsidR="006063B5" w:rsidRPr="00803792">
        <w:rPr>
          <w:rFonts w:ascii="Calibri" w:hAnsi="Calibri"/>
          <w:sz w:val="24"/>
          <w:szCs w:val="24"/>
          <w:lang w:eastAsia="en-US"/>
        </w:rPr>
        <w:t xml:space="preserve"> </w:t>
      </w:r>
      <w:r w:rsidR="00460B19" w:rsidRPr="00803792">
        <w:rPr>
          <w:rFonts w:ascii="Calibri" w:hAnsi="Calibri"/>
          <w:sz w:val="24"/>
          <w:szCs w:val="24"/>
          <w:lang w:eastAsia="en-US"/>
        </w:rPr>
        <w:t>vnitřní</w:t>
      </w:r>
      <w:r w:rsidR="006063B5">
        <w:rPr>
          <w:rFonts w:ascii="Calibri" w:hAnsi="Calibri"/>
          <w:sz w:val="24"/>
          <w:szCs w:val="24"/>
          <w:lang w:eastAsia="en-US"/>
        </w:rPr>
        <w:t>ho</w:t>
      </w:r>
      <w:r w:rsidR="00460B19" w:rsidRPr="00803792">
        <w:rPr>
          <w:rFonts w:ascii="Calibri" w:hAnsi="Calibri"/>
          <w:sz w:val="24"/>
          <w:szCs w:val="24"/>
          <w:lang w:eastAsia="en-US"/>
        </w:rPr>
        <w:t xml:space="preserve"> výnosové</w:t>
      </w:r>
      <w:r w:rsidR="006063B5">
        <w:rPr>
          <w:rFonts w:ascii="Calibri" w:hAnsi="Calibri"/>
          <w:sz w:val="24"/>
          <w:szCs w:val="24"/>
          <w:lang w:eastAsia="en-US"/>
        </w:rPr>
        <w:t>ho</w:t>
      </w:r>
      <w:r w:rsidR="00460B19" w:rsidRPr="00803792">
        <w:rPr>
          <w:rFonts w:ascii="Calibri" w:hAnsi="Calibri"/>
          <w:sz w:val="24"/>
          <w:szCs w:val="24"/>
          <w:lang w:eastAsia="en-US"/>
        </w:rPr>
        <w:t xml:space="preserve"> </w:t>
      </w:r>
      <w:r w:rsidR="006063B5" w:rsidRPr="00803792">
        <w:rPr>
          <w:rFonts w:ascii="Calibri" w:hAnsi="Calibri"/>
          <w:sz w:val="24"/>
          <w:szCs w:val="24"/>
          <w:lang w:eastAsia="en-US"/>
        </w:rPr>
        <w:t>procent</w:t>
      </w:r>
      <w:r w:rsidR="006063B5">
        <w:rPr>
          <w:rFonts w:ascii="Calibri" w:hAnsi="Calibri"/>
          <w:sz w:val="24"/>
          <w:szCs w:val="24"/>
          <w:lang w:eastAsia="en-US"/>
        </w:rPr>
        <w:t>a</w:t>
      </w:r>
      <w:r w:rsidR="006063B5" w:rsidRPr="00803792">
        <w:rPr>
          <w:rFonts w:ascii="Calibri" w:hAnsi="Calibri"/>
          <w:sz w:val="24"/>
          <w:szCs w:val="24"/>
          <w:lang w:eastAsia="en-US"/>
        </w:rPr>
        <w:t xml:space="preserve"> </w:t>
      </w:r>
      <w:r w:rsidR="00460B19" w:rsidRPr="00803792">
        <w:rPr>
          <w:rFonts w:ascii="Calibri" w:hAnsi="Calibri"/>
          <w:sz w:val="24"/>
          <w:szCs w:val="24"/>
          <w:lang w:eastAsia="en-US"/>
        </w:rPr>
        <w:t xml:space="preserve">(IRR), pak je potřeba </w:t>
      </w:r>
      <w:r w:rsidR="006063B5">
        <w:rPr>
          <w:rFonts w:ascii="Calibri" w:hAnsi="Calibri"/>
          <w:sz w:val="24"/>
          <w:szCs w:val="24"/>
          <w:lang w:eastAsia="en-US"/>
        </w:rPr>
        <w:t xml:space="preserve">tento přístup </w:t>
      </w:r>
      <w:r w:rsidR="00460B19" w:rsidRPr="00803792">
        <w:rPr>
          <w:rFonts w:ascii="Calibri" w:hAnsi="Calibri"/>
          <w:sz w:val="24"/>
          <w:szCs w:val="24"/>
          <w:lang w:eastAsia="en-US"/>
        </w:rPr>
        <w:t>uplatnit bez rozdílu na všechny podporované zdroje</w:t>
      </w:r>
      <w:r w:rsidR="00803792">
        <w:rPr>
          <w:rFonts w:ascii="Calibri" w:hAnsi="Calibri"/>
          <w:sz w:val="24"/>
          <w:szCs w:val="24"/>
          <w:lang w:eastAsia="en-US"/>
        </w:rPr>
        <w:t>.</w:t>
      </w:r>
    </w:p>
    <w:p w14:paraId="467B8A64" w14:textId="77261047" w:rsidR="007D162B" w:rsidRDefault="00960593" w:rsidP="004713EF">
      <w:pPr>
        <w:tabs>
          <w:tab w:val="left" w:pos="0"/>
        </w:tabs>
        <w:overflowPunct/>
        <w:autoSpaceDE/>
        <w:autoSpaceDN/>
        <w:adjustRightInd/>
        <w:spacing w:before="100" w:beforeAutospacing="1" w:after="100" w:afterAutospacing="1" w:line="276" w:lineRule="auto"/>
        <w:jc w:val="both"/>
        <w:textAlignment w:val="auto"/>
        <w:rPr>
          <w:sz w:val="24"/>
          <w:szCs w:val="24"/>
        </w:rPr>
      </w:pPr>
      <w:r>
        <w:rPr>
          <w:sz w:val="24"/>
          <w:szCs w:val="24"/>
        </w:rPr>
        <w:t>c</w:t>
      </w:r>
      <w:r w:rsidR="007D162B">
        <w:rPr>
          <w:sz w:val="24"/>
          <w:szCs w:val="24"/>
        </w:rPr>
        <w:t xml:space="preserve">) </w:t>
      </w:r>
      <w:r w:rsidR="009C0131">
        <w:rPr>
          <w:sz w:val="24"/>
          <w:szCs w:val="24"/>
        </w:rPr>
        <w:t>U</w:t>
      </w:r>
      <w:r w:rsidR="007D162B">
        <w:rPr>
          <w:sz w:val="24"/>
          <w:szCs w:val="24"/>
        </w:rPr>
        <w:t>rčit počet a rozsah výroben elektřiny</w:t>
      </w:r>
      <w:r w:rsidR="00810D60">
        <w:rPr>
          <w:sz w:val="24"/>
          <w:szCs w:val="24"/>
        </w:rPr>
        <w:t>, které z pohledu če</w:t>
      </w:r>
      <w:r w:rsidR="001E30DF">
        <w:rPr>
          <w:sz w:val="24"/>
          <w:szCs w:val="24"/>
        </w:rPr>
        <w:t>r</w:t>
      </w:r>
      <w:r w:rsidR="00810D60">
        <w:rPr>
          <w:sz w:val="24"/>
          <w:szCs w:val="24"/>
        </w:rPr>
        <w:t>pané podpory (veškeré podpory)</w:t>
      </w:r>
      <w:r w:rsidR="007D162B">
        <w:rPr>
          <w:sz w:val="24"/>
          <w:szCs w:val="24"/>
        </w:rPr>
        <w:t xml:space="preserve"> spadající a nespadající do hranice de minimis</w:t>
      </w:r>
      <w:r w:rsidR="0080265C">
        <w:rPr>
          <w:sz w:val="24"/>
          <w:szCs w:val="24"/>
        </w:rPr>
        <w:t>.</w:t>
      </w:r>
    </w:p>
    <w:p w14:paraId="3C52BBCD" w14:textId="5E20766F" w:rsidR="007D162B" w:rsidRPr="009C0131" w:rsidRDefault="00960593" w:rsidP="004713EF">
      <w:pPr>
        <w:tabs>
          <w:tab w:val="left" w:pos="0"/>
        </w:tabs>
        <w:overflowPunct/>
        <w:autoSpaceDE/>
        <w:autoSpaceDN/>
        <w:adjustRightInd/>
        <w:spacing w:before="100" w:beforeAutospacing="1" w:after="100" w:afterAutospacing="1" w:line="276" w:lineRule="auto"/>
        <w:jc w:val="both"/>
        <w:textAlignment w:val="auto"/>
        <w:rPr>
          <w:i/>
          <w:sz w:val="24"/>
          <w:szCs w:val="24"/>
        </w:rPr>
      </w:pPr>
      <w:r>
        <w:rPr>
          <w:sz w:val="24"/>
          <w:szCs w:val="24"/>
        </w:rPr>
        <w:t>d</w:t>
      </w:r>
      <w:r w:rsidR="007D162B">
        <w:rPr>
          <w:sz w:val="24"/>
          <w:szCs w:val="24"/>
        </w:rPr>
        <w:t xml:space="preserve">) </w:t>
      </w:r>
      <w:r w:rsidR="00490BEF">
        <w:rPr>
          <w:sz w:val="24"/>
          <w:szCs w:val="24"/>
        </w:rPr>
        <w:t xml:space="preserve">Z  mechanismu </w:t>
      </w:r>
      <w:r w:rsidR="00777AA3">
        <w:rPr>
          <w:sz w:val="24"/>
          <w:szCs w:val="24"/>
        </w:rPr>
        <w:t xml:space="preserve">kontroly přiměřenosti podpory </w:t>
      </w:r>
      <w:r w:rsidR="00490BEF">
        <w:rPr>
          <w:sz w:val="24"/>
          <w:szCs w:val="24"/>
        </w:rPr>
        <w:t>budou vyřazeny</w:t>
      </w:r>
      <w:r w:rsidR="007D162B">
        <w:rPr>
          <w:sz w:val="24"/>
          <w:szCs w:val="24"/>
        </w:rPr>
        <w:t xml:space="preserve"> výrobny elektřiny spadající do hranice de minimis</w:t>
      </w:r>
      <w:r w:rsidR="00810D60">
        <w:rPr>
          <w:sz w:val="24"/>
          <w:szCs w:val="24"/>
        </w:rPr>
        <w:t>.</w:t>
      </w:r>
    </w:p>
    <w:p w14:paraId="4CFB6FA1" w14:textId="0D34BDCC" w:rsidR="00490BEF" w:rsidRDefault="00960593" w:rsidP="004713EF">
      <w:pPr>
        <w:tabs>
          <w:tab w:val="left" w:pos="0"/>
        </w:tabs>
        <w:overflowPunct/>
        <w:autoSpaceDE/>
        <w:autoSpaceDN/>
        <w:adjustRightInd/>
        <w:spacing w:before="100" w:beforeAutospacing="1" w:after="100" w:afterAutospacing="1" w:line="276" w:lineRule="auto"/>
        <w:jc w:val="both"/>
        <w:textAlignment w:val="auto"/>
        <w:rPr>
          <w:sz w:val="24"/>
          <w:szCs w:val="24"/>
        </w:rPr>
      </w:pPr>
      <w:r>
        <w:rPr>
          <w:sz w:val="24"/>
          <w:szCs w:val="24"/>
        </w:rPr>
        <w:t>e</w:t>
      </w:r>
      <w:r w:rsidR="00490BEF">
        <w:rPr>
          <w:sz w:val="24"/>
          <w:szCs w:val="24"/>
        </w:rPr>
        <w:t>)  Urč</w:t>
      </w:r>
      <w:r w:rsidR="00810D60">
        <w:rPr>
          <w:sz w:val="24"/>
          <w:szCs w:val="24"/>
        </w:rPr>
        <w:t>it</w:t>
      </w:r>
      <w:r w:rsidR="00490BEF">
        <w:rPr>
          <w:sz w:val="24"/>
          <w:szCs w:val="24"/>
        </w:rPr>
        <w:t xml:space="preserve"> počet zdrojů, které čerpal</w:t>
      </w:r>
      <w:r w:rsidR="00134122">
        <w:rPr>
          <w:sz w:val="24"/>
          <w:szCs w:val="24"/>
        </w:rPr>
        <w:t>y</w:t>
      </w:r>
      <w:r w:rsidR="00490BEF">
        <w:rPr>
          <w:sz w:val="24"/>
          <w:szCs w:val="24"/>
        </w:rPr>
        <w:t xml:space="preserve"> podporu nad hranici de minimis a tyto zdroje </w:t>
      </w:r>
      <w:r w:rsidR="00810D60">
        <w:rPr>
          <w:sz w:val="24"/>
          <w:szCs w:val="24"/>
        </w:rPr>
        <w:t xml:space="preserve">rozdělit </w:t>
      </w:r>
      <w:r w:rsidR="00490BEF">
        <w:rPr>
          <w:sz w:val="24"/>
          <w:szCs w:val="24"/>
        </w:rPr>
        <w:t>na dvě skupiny:</w:t>
      </w:r>
    </w:p>
    <w:p w14:paraId="64F64A41" w14:textId="7B2A7F47" w:rsidR="00490BEF" w:rsidRPr="00490BEF" w:rsidRDefault="00490BEF" w:rsidP="0080265C">
      <w:pPr>
        <w:pStyle w:val="Odstavecseseznamem"/>
        <w:numPr>
          <w:ilvl w:val="0"/>
          <w:numId w:val="3"/>
        </w:numPr>
        <w:tabs>
          <w:tab w:val="left" w:pos="0"/>
        </w:tabs>
        <w:overflowPunct/>
        <w:autoSpaceDE/>
        <w:autoSpaceDN/>
        <w:adjustRightInd/>
        <w:spacing w:before="100" w:beforeAutospacing="1" w:after="100" w:afterAutospacing="1" w:line="276" w:lineRule="auto"/>
        <w:jc w:val="both"/>
        <w:textAlignment w:val="auto"/>
        <w:rPr>
          <w:i/>
          <w:sz w:val="24"/>
          <w:szCs w:val="24"/>
        </w:rPr>
      </w:pPr>
      <w:r w:rsidRPr="00490BEF">
        <w:rPr>
          <w:i/>
          <w:sz w:val="24"/>
          <w:szCs w:val="24"/>
        </w:rPr>
        <w:lastRenderedPageBreak/>
        <w:t>zdroje, které čerpaly pouze podporu elektřiny z OZE</w:t>
      </w:r>
    </w:p>
    <w:p w14:paraId="578B867D" w14:textId="156D1309" w:rsidR="00490BEF" w:rsidRPr="00490BEF" w:rsidRDefault="00490BEF" w:rsidP="0080265C">
      <w:pPr>
        <w:pStyle w:val="Odstavecseseznamem"/>
        <w:numPr>
          <w:ilvl w:val="0"/>
          <w:numId w:val="3"/>
        </w:numPr>
        <w:tabs>
          <w:tab w:val="left" w:pos="0"/>
        </w:tabs>
        <w:overflowPunct/>
        <w:autoSpaceDE/>
        <w:autoSpaceDN/>
        <w:adjustRightInd/>
        <w:spacing w:before="100" w:beforeAutospacing="1" w:after="100" w:afterAutospacing="1" w:line="276" w:lineRule="auto"/>
        <w:jc w:val="both"/>
        <w:textAlignment w:val="auto"/>
        <w:rPr>
          <w:i/>
          <w:sz w:val="24"/>
          <w:szCs w:val="24"/>
        </w:rPr>
      </w:pPr>
      <w:r w:rsidRPr="00490BEF">
        <w:rPr>
          <w:i/>
          <w:sz w:val="24"/>
          <w:szCs w:val="24"/>
        </w:rPr>
        <w:t>zdroje, kde docházelo ke kumulaci s dalšími provozními podporami anebo investiční podporou</w:t>
      </w:r>
      <w:r w:rsidR="00134122">
        <w:rPr>
          <w:i/>
          <w:sz w:val="24"/>
          <w:szCs w:val="24"/>
        </w:rPr>
        <w:t>.</w:t>
      </w:r>
    </w:p>
    <w:p w14:paraId="1EB35250" w14:textId="1E6C75E4" w:rsidR="007D162B" w:rsidRDefault="00960593" w:rsidP="004713EF">
      <w:pPr>
        <w:tabs>
          <w:tab w:val="left" w:pos="0"/>
        </w:tabs>
        <w:overflowPunct/>
        <w:autoSpaceDE/>
        <w:autoSpaceDN/>
        <w:adjustRightInd/>
        <w:spacing w:before="100" w:beforeAutospacing="1" w:after="100" w:afterAutospacing="1" w:line="276" w:lineRule="auto"/>
        <w:jc w:val="both"/>
        <w:textAlignment w:val="auto"/>
        <w:rPr>
          <w:sz w:val="24"/>
          <w:szCs w:val="24"/>
        </w:rPr>
      </w:pPr>
      <w:r>
        <w:rPr>
          <w:sz w:val="24"/>
          <w:szCs w:val="24"/>
        </w:rPr>
        <w:t>f</w:t>
      </w:r>
      <w:r w:rsidR="007D162B">
        <w:rPr>
          <w:sz w:val="24"/>
          <w:szCs w:val="24"/>
        </w:rPr>
        <w:t xml:space="preserve">)  </w:t>
      </w:r>
      <w:r w:rsidR="009C0131">
        <w:rPr>
          <w:sz w:val="24"/>
          <w:szCs w:val="24"/>
        </w:rPr>
        <w:t xml:space="preserve">Podle počtu a rozsahu výroben elektřiny </w:t>
      </w:r>
      <w:r w:rsidR="00490BEF">
        <w:rPr>
          <w:sz w:val="24"/>
          <w:szCs w:val="24"/>
        </w:rPr>
        <w:t xml:space="preserve">(zdrojů) </w:t>
      </w:r>
      <w:r w:rsidR="009C0131">
        <w:rPr>
          <w:sz w:val="24"/>
          <w:szCs w:val="24"/>
        </w:rPr>
        <w:t>nespadající</w:t>
      </w:r>
      <w:r w:rsidR="00134122">
        <w:rPr>
          <w:sz w:val="24"/>
          <w:szCs w:val="24"/>
        </w:rPr>
        <w:t>ch</w:t>
      </w:r>
      <w:r w:rsidR="009C0131">
        <w:rPr>
          <w:sz w:val="24"/>
          <w:szCs w:val="24"/>
        </w:rPr>
        <w:t xml:space="preserve"> do hranice de minimis </w:t>
      </w:r>
      <w:r w:rsidR="00490BEF">
        <w:rPr>
          <w:sz w:val="24"/>
          <w:szCs w:val="24"/>
        </w:rPr>
        <w:t xml:space="preserve">se u obou skupin určí </w:t>
      </w:r>
      <w:r w:rsidR="009C0131">
        <w:rPr>
          <w:sz w:val="24"/>
          <w:szCs w:val="24"/>
        </w:rPr>
        <w:t xml:space="preserve"> výkonové rozsahy příslušející jednotlivým druhům OZE</w:t>
      </w:r>
      <w:r w:rsidR="00134122">
        <w:rPr>
          <w:sz w:val="24"/>
          <w:szCs w:val="24"/>
        </w:rPr>
        <w:t>,</w:t>
      </w:r>
      <w:r w:rsidR="009C0131">
        <w:rPr>
          <w:sz w:val="24"/>
          <w:szCs w:val="24"/>
        </w:rPr>
        <w:t xml:space="preserve"> od kterých </w:t>
      </w:r>
      <w:r w:rsidR="00490BEF">
        <w:rPr>
          <w:sz w:val="24"/>
          <w:szCs w:val="24"/>
        </w:rPr>
        <w:t>bude</w:t>
      </w:r>
      <w:r w:rsidR="009C0131">
        <w:rPr>
          <w:sz w:val="24"/>
          <w:szCs w:val="24"/>
        </w:rPr>
        <w:t xml:space="preserve"> </w:t>
      </w:r>
      <w:r w:rsidR="00490BEF">
        <w:rPr>
          <w:sz w:val="24"/>
          <w:szCs w:val="24"/>
        </w:rPr>
        <w:t xml:space="preserve">proveden </w:t>
      </w:r>
      <w:r w:rsidR="009C0131">
        <w:rPr>
          <w:sz w:val="24"/>
          <w:szCs w:val="24"/>
        </w:rPr>
        <w:t>mechanismus</w:t>
      </w:r>
      <w:r w:rsidR="00777AA3">
        <w:rPr>
          <w:sz w:val="24"/>
          <w:szCs w:val="24"/>
        </w:rPr>
        <w:t xml:space="preserve"> kontroly přiměřenosti podpory</w:t>
      </w:r>
      <w:r w:rsidR="009C0131">
        <w:rPr>
          <w:sz w:val="24"/>
          <w:szCs w:val="24"/>
        </w:rPr>
        <w:t>.</w:t>
      </w:r>
    </w:p>
    <w:p w14:paraId="606985ED" w14:textId="53B85544" w:rsidR="00AF2482" w:rsidRDefault="00960593" w:rsidP="004713EF">
      <w:pPr>
        <w:tabs>
          <w:tab w:val="left" w:pos="0"/>
        </w:tabs>
        <w:overflowPunct/>
        <w:autoSpaceDE/>
        <w:autoSpaceDN/>
        <w:adjustRightInd/>
        <w:spacing w:before="100" w:beforeAutospacing="1" w:after="100" w:afterAutospacing="1" w:line="276" w:lineRule="auto"/>
        <w:jc w:val="both"/>
        <w:textAlignment w:val="auto"/>
        <w:rPr>
          <w:sz w:val="24"/>
          <w:szCs w:val="24"/>
        </w:rPr>
      </w:pPr>
      <w:r>
        <w:rPr>
          <w:sz w:val="24"/>
          <w:szCs w:val="24"/>
        </w:rPr>
        <w:t>g</w:t>
      </w:r>
      <w:r w:rsidR="009C0131">
        <w:rPr>
          <w:sz w:val="24"/>
          <w:szCs w:val="24"/>
        </w:rPr>
        <w:t xml:space="preserve">)  V případě </w:t>
      </w:r>
      <w:r w:rsidR="00490BEF">
        <w:rPr>
          <w:sz w:val="24"/>
          <w:szCs w:val="24"/>
        </w:rPr>
        <w:t>zdrojů</w:t>
      </w:r>
      <w:r w:rsidR="009C0131">
        <w:rPr>
          <w:sz w:val="24"/>
          <w:szCs w:val="24"/>
        </w:rPr>
        <w:t xml:space="preserve"> </w:t>
      </w:r>
      <w:r w:rsidR="00810D60">
        <w:rPr>
          <w:sz w:val="24"/>
          <w:szCs w:val="24"/>
        </w:rPr>
        <w:t xml:space="preserve">čerpající podporu nad </w:t>
      </w:r>
      <w:r w:rsidR="009C0131">
        <w:rPr>
          <w:sz w:val="24"/>
          <w:szCs w:val="24"/>
        </w:rPr>
        <w:t>hranic</w:t>
      </w:r>
      <w:r w:rsidR="00810D60">
        <w:rPr>
          <w:sz w:val="24"/>
          <w:szCs w:val="24"/>
        </w:rPr>
        <w:t>i</w:t>
      </w:r>
      <w:r w:rsidR="009C0131">
        <w:rPr>
          <w:sz w:val="24"/>
          <w:szCs w:val="24"/>
        </w:rPr>
        <w:t xml:space="preserve"> de minimis</w:t>
      </w:r>
      <w:r w:rsidR="00490BEF">
        <w:rPr>
          <w:sz w:val="24"/>
          <w:szCs w:val="24"/>
        </w:rPr>
        <w:t xml:space="preserve">, </w:t>
      </w:r>
      <w:r w:rsidR="00810D60">
        <w:rPr>
          <w:sz w:val="24"/>
          <w:szCs w:val="24"/>
        </w:rPr>
        <w:t xml:space="preserve">v případě, že zdroje </w:t>
      </w:r>
      <w:r w:rsidR="00490BEF">
        <w:rPr>
          <w:sz w:val="24"/>
          <w:szCs w:val="24"/>
        </w:rPr>
        <w:t xml:space="preserve"> čerpaly pouze podporu </w:t>
      </w:r>
      <w:r w:rsidR="009C0131">
        <w:rPr>
          <w:sz w:val="24"/>
          <w:szCs w:val="24"/>
        </w:rPr>
        <w:t>elektřiny z</w:t>
      </w:r>
      <w:r w:rsidR="00134122">
        <w:rPr>
          <w:sz w:val="24"/>
          <w:szCs w:val="24"/>
        </w:rPr>
        <w:t> </w:t>
      </w:r>
      <w:r w:rsidR="009C0131">
        <w:rPr>
          <w:sz w:val="24"/>
          <w:szCs w:val="24"/>
        </w:rPr>
        <w:t>OZE</w:t>
      </w:r>
      <w:r w:rsidR="00134122">
        <w:rPr>
          <w:sz w:val="24"/>
          <w:szCs w:val="24"/>
        </w:rPr>
        <w:t>:</w:t>
      </w:r>
      <w:r w:rsidR="009C0131">
        <w:rPr>
          <w:sz w:val="24"/>
          <w:szCs w:val="24"/>
        </w:rPr>
        <w:t xml:space="preserve"> </w:t>
      </w:r>
    </w:p>
    <w:p w14:paraId="4B43BE26" w14:textId="4D10989E" w:rsidR="00AF2482" w:rsidRPr="00AF2482" w:rsidRDefault="00490BEF" w:rsidP="000B4301">
      <w:pPr>
        <w:pStyle w:val="Odstavecseseznamem"/>
        <w:numPr>
          <w:ilvl w:val="0"/>
          <w:numId w:val="3"/>
        </w:numPr>
        <w:tabs>
          <w:tab w:val="left" w:pos="0"/>
        </w:tabs>
        <w:overflowPunct/>
        <w:autoSpaceDE/>
        <w:autoSpaceDN/>
        <w:adjustRightInd/>
        <w:spacing w:before="100" w:beforeAutospacing="1" w:after="100" w:afterAutospacing="1" w:line="276" w:lineRule="auto"/>
        <w:jc w:val="both"/>
        <w:textAlignment w:val="auto"/>
        <w:rPr>
          <w:i/>
          <w:sz w:val="24"/>
          <w:szCs w:val="24"/>
        </w:rPr>
      </w:pPr>
      <w:r>
        <w:rPr>
          <w:i/>
          <w:sz w:val="24"/>
          <w:szCs w:val="24"/>
        </w:rPr>
        <w:t>rozdělení</w:t>
      </w:r>
      <w:r w:rsidRPr="00AF2482">
        <w:rPr>
          <w:i/>
          <w:sz w:val="24"/>
          <w:szCs w:val="24"/>
        </w:rPr>
        <w:t xml:space="preserve"> </w:t>
      </w:r>
      <w:r w:rsidR="009C0131" w:rsidRPr="00AF2482">
        <w:rPr>
          <w:i/>
          <w:sz w:val="24"/>
          <w:szCs w:val="24"/>
        </w:rPr>
        <w:t>kontrol</w:t>
      </w:r>
      <w:r>
        <w:rPr>
          <w:i/>
          <w:sz w:val="24"/>
          <w:szCs w:val="24"/>
        </w:rPr>
        <w:t>y</w:t>
      </w:r>
      <w:r w:rsidR="009C0131" w:rsidRPr="00AF2482">
        <w:rPr>
          <w:i/>
          <w:sz w:val="24"/>
          <w:szCs w:val="24"/>
        </w:rPr>
        <w:t xml:space="preserve"> reprezentativního vzorku </w:t>
      </w:r>
      <w:r w:rsidR="00F43B39">
        <w:rPr>
          <w:i/>
          <w:sz w:val="24"/>
          <w:szCs w:val="24"/>
        </w:rPr>
        <w:t xml:space="preserve">zdrojů </w:t>
      </w:r>
      <w:r>
        <w:rPr>
          <w:i/>
          <w:sz w:val="24"/>
          <w:szCs w:val="24"/>
        </w:rPr>
        <w:t xml:space="preserve">na hladiny (rozpětí) </w:t>
      </w:r>
      <w:r w:rsidR="009C0131" w:rsidRPr="00AF2482">
        <w:rPr>
          <w:i/>
          <w:sz w:val="24"/>
          <w:szCs w:val="24"/>
        </w:rPr>
        <w:t>podle velikosti instalovaného výkonu</w:t>
      </w:r>
      <w:r w:rsidR="00F43B39">
        <w:rPr>
          <w:i/>
          <w:sz w:val="24"/>
          <w:szCs w:val="24"/>
        </w:rPr>
        <w:t xml:space="preserve"> zdrojů</w:t>
      </w:r>
      <w:r w:rsidR="00C771C1">
        <w:rPr>
          <w:i/>
          <w:sz w:val="24"/>
          <w:szCs w:val="24"/>
        </w:rPr>
        <w:t xml:space="preserve"> a podle data uvedení zdroje do provozu</w:t>
      </w:r>
      <w:r w:rsidR="00A118DD">
        <w:rPr>
          <w:i/>
          <w:sz w:val="24"/>
          <w:szCs w:val="24"/>
        </w:rPr>
        <w:t>,</w:t>
      </w:r>
      <w:r w:rsidR="009C0131" w:rsidRPr="00AF2482">
        <w:rPr>
          <w:i/>
          <w:sz w:val="24"/>
          <w:szCs w:val="24"/>
        </w:rPr>
        <w:t xml:space="preserve"> </w:t>
      </w:r>
      <w:r w:rsidR="00AF2482" w:rsidRPr="00AF2482">
        <w:rPr>
          <w:i/>
          <w:sz w:val="24"/>
          <w:szCs w:val="24"/>
        </w:rPr>
        <w:t>mezi kterými by byla provedena kontrola</w:t>
      </w:r>
      <w:r w:rsidR="009C0131" w:rsidRPr="00AF2482">
        <w:rPr>
          <w:i/>
          <w:sz w:val="24"/>
          <w:szCs w:val="24"/>
        </w:rPr>
        <w:t xml:space="preserve">. </w:t>
      </w:r>
    </w:p>
    <w:p w14:paraId="00E2849C" w14:textId="12BDB371" w:rsidR="009C0131" w:rsidRPr="00AF2482" w:rsidRDefault="00AF2482" w:rsidP="000B4301">
      <w:pPr>
        <w:pStyle w:val="Odstavecseseznamem"/>
        <w:numPr>
          <w:ilvl w:val="0"/>
          <w:numId w:val="3"/>
        </w:numPr>
        <w:tabs>
          <w:tab w:val="left" w:pos="0"/>
        </w:tabs>
        <w:overflowPunct/>
        <w:autoSpaceDE/>
        <w:autoSpaceDN/>
        <w:adjustRightInd/>
        <w:spacing w:before="100" w:beforeAutospacing="1" w:after="100" w:afterAutospacing="1" w:line="276" w:lineRule="auto"/>
        <w:jc w:val="both"/>
        <w:textAlignment w:val="auto"/>
        <w:rPr>
          <w:i/>
          <w:sz w:val="24"/>
          <w:szCs w:val="24"/>
        </w:rPr>
      </w:pPr>
      <w:r w:rsidRPr="00AF2482">
        <w:rPr>
          <w:i/>
          <w:sz w:val="24"/>
          <w:szCs w:val="24"/>
        </w:rPr>
        <w:t>v</w:t>
      </w:r>
      <w:r w:rsidR="009C0131" w:rsidRPr="00AF2482">
        <w:rPr>
          <w:i/>
          <w:sz w:val="24"/>
          <w:szCs w:val="24"/>
        </w:rPr>
        <w:t xml:space="preserve"> každé </w:t>
      </w:r>
      <w:r w:rsidRPr="00AF2482">
        <w:rPr>
          <w:i/>
          <w:sz w:val="24"/>
          <w:szCs w:val="24"/>
        </w:rPr>
        <w:t xml:space="preserve">výkonové </w:t>
      </w:r>
      <w:r w:rsidR="00F43B39">
        <w:rPr>
          <w:i/>
          <w:sz w:val="24"/>
          <w:szCs w:val="24"/>
        </w:rPr>
        <w:t>hladině (rozpětí)</w:t>
      </w:r>
      <w:r w:rsidR="00F43B39" w:rsidRPr="00AF2482">
        <w:rPr>
          <w:i/>
          <w:sz w:val="24"/>
          <w:szCs w:val="24"/>
        </w:rPr>
        <w:t xml:space="preserve"> </w:t>
      </w:r>
      <w:r w:rsidR="009C0131" w:rsidRPr="00AF2482">
        <w:rPr>
          <w:i/>
          <w:sz w:val="24"/>
          <w:szCs w:val="24"/>
        </w:rPr>
        <w:t xml:space="preserve">instalovaného výkonu </w:t>
      </w:r>
      <w:r w:rsidR="00BB0DF4">
        <w:rPr>
          <w:i/>
          <w:sz w:val="24"/>
          <w:szCs w:val="24"/>
        </w:rPr>
        <w:t xml:space="preserve">a data uvedení zdroje do provozu </w:t>
      </w:r>
      <w:r w:rsidR="00F43B39">
        <w:rPr>
          <w:i/>
          <w:sz w:val="24"/>
          <w:szCs w:val="24"/>
        </w:rPr>
        <w:t>bude určeno</w:t>
      </w:r>
      <w:r w:rsidR="009C0131" w:rsidRPr="00AF2482">
        <w:rPr>
          <w:i/>
          <w:sz w:val="24"/>
          <w:szCs w:val="24"/>
        </w:rPr>
        <w:t xml:space="preserve"> jako reprezentativní vzorek </w:t>
      </w:r>
      <w:r w:rsidR="00810D60">
        <w:rPr>
          <w:i/>
          <w:sz w:val="24"/>
          <w:szCs w:val="24"/>
        </w:rPr>
        <w:t xml:space="preserve">minimálně </w:t>
      </w:r>
      <w:r w:rsidR="009C0131" w:rsidRPr="00AF2482">
        <w:rPr>
          <w:i/>
          <w:sz w:val="24"/>
          <w:szCs w:val="24"/>
        </w:rPr>
        <w:t xml:space="preserve">5 </w:t>
      </w:r>
      <w:r w:rsidR="00F43B39">
        <w:rPr>
          <w:i/>
          <w:sz w:val="24"/>
          <w:szCs w:val="24"/>
        </w:rPr>
        <w:t>zdrojů</w:t>
      </w:r>
      <w:r w:rsidR="00BB0DF4">
        <w:rPr>
          <w:i/>
          <w:sz w:val="24"/>
          <w:szCs w:val="24"/>
        </w:rPr>
        <w:t xml:space="preserve"> (pokud daná skupina zdrojů bude tento počet zdrojů obsahovat)</w:t>
      </w:r>
      <w:r w:rsidR="009C0131" w:rsidRPr="00AF2482">
        <w:rPr>
          <w:i/>
          <w:sz w:val="24"/>
          <w:szCs w:val="24"/>
        </w:rPr>
        <w:t>.</w:t>
      </w:r>
    </w:p>
    <w:p w14:paraId="0D060F1F" w14:textId="21A5B972" w:rsidR="00AF2482" w:rsidRPr="00AF2482" w:rsidRDefault="00AF2482" w:rsidP="000B4301">
      <w:pPr>
        <w:pStyle w:val="Odstavecseseznamem"/>
        <w:numPr>
          <w:ilvl w:val="0"/>
          <w:numId w:val="3"/>
        </w:numPr>
        <w:tabs>
          <w:tab w:val="left" w:pos="0"/>
        </w:tabs>
        <w:overflowPunct/>
        <w:autoSpaceDE/>
        <w:autoSpaceDN/>
        <w:adjustRightInd/>
        <w:spacing w:before="100" w:beforeAutospacing="1" w:after="100" w:afterAutospacing="1" w:line="276" w:lineRule="auto"/>
        <w:jc w:val="both"/>
        <w:textAlignment w:val="auto"/>
        <w:rPr>
          <w:i/>
          <w:iCs/>
          <w:color w:val="000000" w:themeColor="text1"/>
        </w:rPr>
      </w:pPr>
      <w:r w:rsidRPr="00AF2482">
        <w:rPr>
          <w:i/>
          <w:iCs/>
          <w:color w:val="000000" w:themeColor="text1"/>
          <w:sz w:val="24"/>
          <w:szCs w:val="24"/>
        </w:rPr>
        <w:t xml:space="preserve">zaměření kontroly </w:t>
      </w:r>
      <w:r w:rsidR="00F43B39">
        <w:rPr>
          <w:i/>
          <w:iCs/>
          <w:color w:val="000000" w:themeColor="text1"/>
          <w:sz w:val="24"/>
          <w:szCs w:val="24"/>
        </w:rPr>
        <w:t xml:space="preserve">u jednotlivých konkrétních zdrojů </w:t>
      </w:r>
      <w:r w:rsidRPr="00AF2482">
        <w:rPr>
          <w:i/>
          <w:iCs/>
          <w:color w:val="000000" w:themeColor="text1"/>
          <w:sz w:val="24"/>
          <w:szCs w:val="24"/>
        </w:rPr>
        <w:t xml:space="preserve">na úroveň dosavadních a budoucích </w:t>
      </w:r>
      <w:r w:rsidR="006063B5">
        <w:rPr>
          <w:i/>
          <w:iCs/>
          <w:color w:val="000000" w:themeColor="text1"/>
          <w:sz w:val="24"/>
          <w:szCs w:val="24"/>
        </w:rPr>
        <w:t xml:space="preserve">výrobních </w:t>
      </w:r>
      <w:r w:rsidRPr="00AF2482">
        <w:rPr>
          <w:i/>
          <w:iCs/>
          <w:color w:val="000000" w:themeColor="text1"/>
          <w:sz w:val="24"/>
          <w:szCs w:val="24"/>
        </w:rPr>
        <w:t>nákladů zahrnujících investiční i provozní náklady – (tj. zejm. kontrola</w:t>
      </w:r>
      <w:r w:rsidR="00B20172">
        <w:rPr>
          <w:i/>
          <w:iCs/>
          <w:color w:val="000000" w:themeColor="text1"/>
          <w:sz w:val="24"/>
          <w:szCs w:val="24"/>
        </w:rPr>
        <w:t>,</w:t>
      </w:r>
      <w:r w:rsidRPr="00AF2482">
        <w:rPr>
          <w:i/>
          <w:iCs/>
          <w:color w:val="000000" w:themeColor="text1"/>
          <w:sz w:val="24"/>
          <w:szCs w:val="24"/>
        </w:rPr>
        <w:t xml:space="preserve"> </w:t>
      </w:r>
      <w:r w:rsidR="00701EEE">
        <w:rPr>
          <w:i/>
          <w:iCs/>
          <w:color w:val="000000" w:themeColor="text1"/>
          <w:sz w:val="24"/>
          <w:szCs w:val="24"/>
        </w:rPr>
        <w:t xml:space="preserve">zda </w:t>
      </w:r>
      <w:r w:rsidR="006063B5">
        <w:rPr>
          <w:i/>
          <w:iCs/>
          <w:color w:val="000000" w:themeColor="text1"/>
          <w:sz w:val="24"/>
          <w:szCs w:val="24"/>
        </w:rPr>
        <w:t>budoucí</w:t>
      </w:r>
      <w:r w:rsidR="006063B5" w:rsidRPr="00AF2482">
        <w:rPr>
          <w:i/>
          <w:iCs/>
          <w:color w:val="000000" w:themeColor="text1"/>
          <w:sz w:val="24"/>
          <w:szCs w:val="24"/>
        </w:rPr>
        <w:t xml:space="preserve"> </w:t>
      </w:r>
      <w:r w:rsidRPr="00AF2482">
        <w:rPr>
          <w:i/>
          <w:iCs/>
          <w:color w:val="000000" w:themeColor="text1"/>
          <w:sz w:val="24"/>
          <w:szCs w:val="24"/>
        </w:rPr>
        <w:t xml:space="preserve">provozní náklady </w:t>
      </w:r>
      <w:r w:rsidR="006063B5">
        <w:rPr>
          <w:i/>
          <w:iCs/>
          <w:color w:val="000000" w:themeColor="text1"/>
          <w:sz w:val="24"/>
          <w:szCs w:val="24"/>
        </w:rPr>
        <w:t xml:space="preserve">a </w:t>
      </w:r>
      <w:r w:rsidR="00A50201">
        <w:rPr>
          <w:i/>
          <w:iCs/>
          <w:color w:val="000000" w:themeColor="text1"/>
          <w:sz w:val="24"/>
          <w:szCs w:val="24"/>
        </w:rPr>
        <w:t xml:space="preserve">budoucí </w:t>
      </w:r>
      <w:r w:rsidR="006063B5">
        <w:rPr>
          <w:i/>
          <w:iCs/>
          <w:color w:val="000000" w:themeColor="text1"/>
          <w:sz w:val="24"/>
          <w:szCs w:val="24"/>
        </w:rPr>
        <w:t>in</w:t>
      </w:r>
      <w:r w:rsidR="00A50201">
        <w:rPr>
          <w:i/>
          <w:iCs/>
          <w:color w:val="000000" w:themeColor="text1"/>
          <w:sz w:val="24"/>
          <w:szCs w:val="24"/>
        </w:rPr>
        <w:t>vestiční náklady k plánované ob</w:t>
      </w:r>
      <w:r w:rsidR="006063B5">
        <w:rPr>
          <w:i/>
          <w:iCs/>
          <w:color w:val="000000" w:themeColor="text1"/>
          <w:sz w:val="24"/>
          <w:szCs w:val="24"/>
        </w:rPr>
        <w:t>nově zařízení</w:t>
      </w:r>
      <w:r w:rsidRPr="00AF2482">
        <w:rPr>
          <w:i/>
          <w:iCs/>
          <w:color w:val="000000" w:themeColor="text1"/>
          <w:sz w:val="24"/>
          <w:szCs w:val="24"/>
        </w:rPr>
        <w:t xml:space="preserve"> odpovídají úrovni </w:t>
      </w:r>
      <w:r w:rsidR="006063B5">
        <w:rPr>
          <w:i/>
          <w:iCs/>
          <w:color w:val="000000" w:themeColor="text1"/>
          <w:sz w:val="24"/>
          <w:szCs w:val="24"/>
        </w:rPr>
        <w:t xml:space="preserve">těchto nákladů </w:t>
      </w:r>
      <w:r w:rsidRPr="00AF2482">
        <w:rPr>
          <w:i/>
          <w:iCs/>
          <w:color w:val="000000" w:themeColor="text1"/>
          <w:sz w:val="24"/>
          <w:szCs w:val="24"/>
        </w:rPr>
        <w:t>uvažované v modelu při stanovování podpory).</w:t>
      </w:r>
    </w:p>
    <w:p w14:paraId="5A0698AA" w14:textId="1299BA50" w:rsidR="009C0131" w:rsidRDefault="00960593" w:rsidP="004713EF">
      <w:pPr>
        <w:tabs>
          <w:tab w:val="left" w:pos="0"/>
        </w:tabs>
        <w:overflowPunct/>
        <w:autoSpaceDE/>
        <w:autoSpaceDN/>
        <w:adjustRightInd/>
        <w:spacing w:before="100" w:beforeAutospacing="1" w:after="100" w:afterAutospacing="1" w:line="276" w:lineRule="auto"/>
        <w:jc w:val="both"/>
        <w:textAlignment w:val="auto"/>
        <w:rPr>
          <w:sz w:val="24"/>
          <w:szCs w:val="24"/>
        </w:rPr>
      </w:pPr>
      <w:r>
        <w:rPr>
          <w:sz w:val="24"/>
          <w:szCs w:val="24"/>
        </w:rPr>
        <w:t>h</w:t>
      </w:r>
      <w:r w:rsidR="009C0131">
        <w:rPr>
          <w:sz w:val="24"/>
          <w:szCs w:val="24"/>
        </w:rPr>
        <w:t xml:space="preserve">)  V případě </w:t>
      </w:r>
      <w:r w:rsidR="00490BEF">
        <w:rPr>
          <w:sz w:val="24"/>
          <w:szCs w:val="24"/>
        </w:rPr>
        <w:t>zdrojů</w:t>
      </w:r>
      <w:r w:rsidR="009C0131">
        <w:rPr>
          <w:sz w:val="24"/>
          <w:szCs w:val="24"/>
        </w:rPr>
        <w:t xml:space="preserve"> </w:t>
      </w:r>
      <w:r w:rsidR="00810D60">
        <w:rPr>
          <w:sz w:val="24"/>
          <w:szCs w:val="24"/>
        </w:rPr>
        <w:t xml:space="preserve">čerpající podporu nad hranicí </w:t>
      </w:r>
      <w:r w:rsidR="009C0131">
        <w:rPr>
          <w:sz w:val="24"/>
          <w:szCs w:val="24"/>
        </w:rPr>
        <w:t xml:space="preserve"> de minimis</w:t>
      </w:r>
      <w:r w:rsidR="00B20172">
        <w:rPr>
          <w:sz w:val="24"/>
          <w:szCs w:val="24"/>
        </w:rPr>
        <w:t>,</w:t>
      </w:r>
      <w:r w:rsidR="009C0131">
        <w:rPr>
          <w:sz w:val="24"/>
          <w:szCs w:val="24"/>
        </w:rPr>
        <w:t xml:space="preserve"> kde docházelo ke </w:t>
      </w:r>
      <w:r w:rsidR="00214129">
        <w:rPr>
          <w:sz w:val="24"/>
          <w:szCs w:val="24"/>
        </w:rPr>
        <w:t xml:space="preserve">kumulaci </w:t>
      </w:r>
      <w:r w:rsidR="00810D60">
        <w:rPr>
          <w:sz w:val="24"/>
          <w:szCs w:val="24"/>
        </w:rPr>
        <w:t xml:space="preserve">podpory elektřiny z OZE </w:t>
      </w:r>
      <w:r w:rsidR="009C0131">
        <w:rPr>
          <w:sz w:val="24"/>
          <w:szCs w:val="24"/>
        </w:rPr>
        <w:t>s dalšími provozními podporami anebo s investiční podporou</w:t>
      </w:r>
      <w:r w:rsidR="00B20172">
        <w:rPr>
          <w:sz w:val="24"/>
          <w:szCs w:val="24"/>
        </w:rPr>
        <w:t>,</w:t>
      </w:r>
      <w:r w:rsidR="009C0131">
        <w:rPr>
          <w:sz w:val="24"/>
          <w:szCs w:val="24"/>
        </w:rPr>
        <w:t xml:space="preserve"> </w:t>
      </w:r>
      <w:r w:rsidR="00810D60">
        <w:rPr>
          <w:sz w:val="24"/>
          <w:szCs w:val="24"/>
        </w:rPr>
        <w:t xml:space="preserve">provést rozdělení zdrojů na níže uvedené skupiny, </w:t>
      </w:r>
      <w:r w:rsidR="009C0131">
        <w:rPr>
          <w:sz w:val="24"/>
          <w:szCs w:val="24"/>
        </w:rPr>
        <w:t xml:space="preserve">, kde </w:t>
      </w:r>
      <w:r w:rsidR="00490BEF">
        <w:rPr>
          <w:sz w:val="24"/>
          <w:szCs w:val="24"/>
        </w:rPr>
        <w:t xml:space="preserve">kromě podpory elektřiny z OZE </w:t>
      </w:r>
      <w:r w:rsidR="009C0131">
        <w:rPr>
          <w:sz w:val="24"/>
          <w:szCs w:val="24"/>
        </w:rPr>
        <w:t xml:space="preserve">docházelo </w:t>
      </w:r>
      <w:r w:rsidR="00490BEF">
        <w:rPr>
          <w:sz w:val="24"/>
          <w:szCs w:val="24"/>
        </w:rPr>
        <w:t xml:space="preserve">také </w:t>
      </w:r>
      <w:r w:rsidR="009C0131">
        <w:rPr>
          <w:sz w:val="24"/>
          <w:szCs w:val="24"/>
        </w:rPr>
        <w:t>k čerpání:</w:t>
      </w:r>
    </w:p>
    <w:p w14:paraId="4A1B88D3" w14:textId="61ABFEB9" w:rsidR="009C0131" w:rsidRPr="009C0131" w:rsidRDefault="00960593" w:rsidP="004713EF">
      <w:pPr>
        <w:tabs>
          <w:tab w:val="left" w:pos="0"/>
        </w:tabs>
        <w:overflowPunct/>
        <w:autoSpaceDE/>
        <w:autoSpaceDN/>
        <w:adjustRightInd/>
        <w:spacing w:before="100" w:beforeAutospacing="1" w:after="100" w:afterAutospacing="1" w:line="240" w:lineRule="auto"/>
        <w:ind w:firstLine="425"/>
        <w:jc w:val="both"/>
        <w:textAlignment w:val="auto"/>
        <w:rPr>
          <w:i/>
          <w:sz w:val="24"/>
          <w:szCs w:val="24"/>
        </w:rPr>
      </w:pPr>
      <w:r>
        <w:rPr>
          <w:i/>
          <w:sz w:val="24"/>
          <w:szCs w:val="24"/>
        </w:rPr>
        <w:t>h</w:t>
      </w:r>
      <w:r w:rsidR="009C0131" w:rsidRPr="009C0131">
        <w:rPr>
          <w:i/>
          <w:sz w:val="24"/>
          <w:szCs w:val="24"/>
        </w:rPr>
        <w:t>.1)  podpory decentrální výroby elektřiny</w:t>
      </w:r>
    </w:p>
    <w:p w14:paraId="1D5CE30B" w14:textId="1E57E410" w:rsidR="009C0131" w:rsidRPr="009C0131" w:rsidRDefault="00960593" w:rsidP="004713EF">
      <w:pPr>
        <w:tabs>
          <w:tab w:val="left" w:pos="0"/>
        </w:tabs>
        <w:overflowPunct/>
        <w:autoSpaceDE/>
        <w:autoSpaceDN/>
        <w:adjustRightInd/>
        <w:spacing w:before="100" w:beforeAutospacing="1" w:after="100" w:afterAutospacing="1" w:line="240" w:lineRule="auto"/>
        <w:ind w:firstLine="425"/>
        <w:jc w:val="both"/>
        <w:textAlignment w:val="auto"/>
        <w:rPr>
          <w:i/>
          <w:sz w:val="24"/>
          <w:szCs w:val="24"/>
        </w:rPr>
      </w:pPr>
      <w:r>
        <w:rPr>
          <w:i/>
          <w:sz w:val="24"/>
          <w:szCs w:val="24"/>
        </w:rPr>
        <w:t>h</w:t>
      </w:r>
      <w:r w:rsidR="009C0131" w:rsidRPr="009C0131">
        <w:rPr>
          <w:i/>
          <w:sz w:val="24"/>
          <w:szCs w:val="24"/>
        </w:rPr>
        <w:t>.2) podpory elektřiny z vysokoúčinné kombinované výroby elektřiny a tepla</w:t>
      </w:r>
    </w:p>
    <w:p w14:paraId="0F7ECF0D" w14:textId="2CD50006" w:rsidR="009C0131" w:rsidRPr="009C0131" w:rsidRDefault="00960593" w:rsidP="004713EF">
      <w:pPr>
        <w:tabs>
          <w:tab w:val="left" w:pos="0"/>
        </w:tabs>
        <w:overflowPunct/>
        <w:autoSpaceDE/>
        <w:autoSpaceDN/>
        <w:adjustRightInd/>
        <w:spacing w:before="100" w:beforeAutospacing="1" w:after="100" w:afterAutospacing="1" w:line="240" w:lineRule="auto"/>
        <w:ind w:firstLine="425"/>
        <w:jc w:val="both"/>
        <w:textAlignment w:val="auto"/>
        <w:rPr>
          <w:i/>
          <w:sz w:val="24"/>
          <w:szCs w:val="24"/>
        </w:rPr>
      </w:pPr>
      <w:r>
        <w:rPr>
          <w:i/>
          <w:sz w:val="24"/>
          <w:szCs w:val="24"/>
        </w:rPr>
        <w:t>h</w:t>
      </w:r>
      <w:r w:rsidR="009C0131" w:rsidRPr="009C0131">
        <w:rPr>
          <w:i/>
          <w:sz w:val="24"/>
          <w:szCs w:val="24"/>
        </w:rPr>
        <w:t>.3) podpory tepla z OZE</w:t>
      </w:r>
    </w:p>
    <w:p w14:paraId="0ED9E617" w14:textId="026EA13A" w:rsidR="009C0131" w:rsidRPr="009C0131" w:rsidRDefault="00960593" w:rsidP="004713EF">
      <w:pPr>
        <w:tabs>
          <w:tab w:val="left" w:pos="0"/>
        </w:tabs>
        <w:overflowPunct/>
        <w:autoSpaceDE/>
        <w:autoSpaceDN/>
        <w:adjustRightInd/>
        <w:spacing w:before="100" w:beforeAutospacing="1" w:after="100" w:afterAutospacing="1" w:line="240" w:lineRule="auto"/>
        <w:ind w:firstLine="425"/>
        <w:jc w:val="both"/>
        <w:textAlignment w:val="auto"/>
        <w:rPr>
          <w:i/>
          <w:sz w:val="24"/>
          <w:szCs w:val="24"/>
        </w:rPr>
      </w:pPr>
      <w:r>
        <w:rPr>
          <w:i/>
          <w:sz w:val="24"/>
          <w:szCs w:val="24"/>
        </w:rPr>
        <w:t>h</w:t>
      </w:r>
      <w:r w:rsidR="009C0131" w:rsidRPr="009C0131">
        <w:rPr>
          <w:i/>
          <w:sz w:val="24"/>
          <w:szCs w:val="24"/>
        </w:rPr>
        <w:t xml:space="preserve">.4) podpory elektřiny z druhotných energetických zdrojů </w:t>
      </w:r>
    </w:p>
    <w:p w14:paraId="585CB4F4" w14:textId="692BE6A4" w:rsidR="009C0131" w:rsidRPr="009C0131" w:rsidRDefault="00960593" w:rsidP="004713EF">
      <w:pPr>
        <w:tabs>
          <w:tab w:val="left" w:pos="0"/>
        </w:tabs>
        <w:overflowPunct/>
        <w:autoSpaceDE/>
        <w:autoSpaceDN/>
        <w:adjustRightInd/>
        <w:spacing w:before="100" w:beforeAutospacing="1" w:after="100" w:afterAutospacing="1" w:line="240" w:lineRule="auto"/>
        <w:ind w:firstLine="425"/>
        <w:jc w:val="both"/>
        <w:textAlignment w:val="auto"/>
        <w:rPr>
          <w:i/>
          <w:sz w:val="24"/>
          <w:szCs w:val="24"/>
        </w:rPr>
      </w:pPr>
      <w:r>
        <w:rPr>
          <w:i/>
          <w:sz w:val="24"/>
          <w:szCs w:val="24"/>
        </w:rPr>
        <w:t>h</w:t>
      </w:r>
      <w:r w:rsidR="009C0131" w:rsidRPr="009C0131">
        <w:rPr>
          <w:i/>
          <w:sz w:val="24"/>
          <w:szCs w:val="24"/>
        </w:rPr>
        <w:t>.5) investiční podpory</w:t>
      </w:r>
    </w:p>
    <w:p w14:paraId="7796E21C" w14:textId="543C00BD" w:rsidR="00724D38" w:rsidRDefault="00960593" w:rsidP="004713EF">
      <w:pPr>
        <w:tabs>
          <w:tab w:val="left" w:pos="0"/>
        </w:tabs>
        <w:overflowPunct/>
        <w:autoSpaceDE/>
        <w:autoSpaceDN/>
        <w:adjustRightInd/>
        <w:spacing w:before="100" w:beforeAutospacing="1" w:after="100" w:afterAutospacing="1" w:line="276" w:lineRule="auto"/>
        <w:jc w:val="both"/>
        <w:textAlignment w:val="auto"/>
        <w:rPr>
          <w:sz w:val="24"/>
          <w:szCs w:val="24"/>
        </w:rPr>
      </w:pPr>
      <w:r>
        <w:rPr>
          <w:sz w:val="24"/>
          <w:szCs w:val="24"/>
        </w:rPr>
        <w:t>c</w:t>
      </w:r>
      <w:r w:rsidR="00F43B39">
        <w:rPr>
          <w:sz w:val="24"/>
          <w:szCs w:val="24"/>
        </w:rPr>
        <w:t>h</w:t>
      </w:r>
      <w:r w:rsidR="00AF2482">
        <w:rPr>
          <w:sz w:val="24"/>
          <w:szCs w:val="24"/>
        </w:rPr>
        <w:t xml:space="preserve">)  V případě vymezení </w:t>
      </w:r>
      <w:r w:rsidR="00724D38">
        <w:rPr>
          <w:sz w:val="24"/>
          <w:szCs w:val="24"/>
        </w:rPr>
        <w:t xml:space="preserve">zdrojů </w:t>
      </w:r>
      <w:r w:rsidR="00AF2482">
        <w:rPr>
          <w:sz w:val="24"/>
          <w:szCs w:val="24"/>
        </w:rPr>
        <w:t xml:space="preserve">podle bodu </w:t>
      </w:r>
      <w:r>
        <w:rPr>
          <w:sz w:val="24"/>
          <w:szCs w:val="24"/>
        </w:rPr>
        <w:t>h</w:t>
      </w:r>
      <w:r w:rsidR="00AF2482">
        <w:rPr>
          <w:sz w:val="24"/>
          <w:szCs w:val="24"/>
        </w:rPr>
        <w:t xml:space="preserve">) provést </w:t>
      </w:r>
      <w:r w:rsidR="00701EEE">
        <w:rPr>
          <w:sz w:val="24"/>
          <w:szCs w:val="24"/>
        </w:rPr>
        <w:t xml:space="preserve">kontrolu ve dvou úrovních </w:t>
      </w:r>
    </w:p>
    <w:p w14:paraId="726D3478" w14:textId="152EF6C5" w:rsidR="00724D38" w:rsidRDefault="00724D38" w:rsidP="004713EF">
      <w:pPr>
        <w:tabs>
          <w:tab w:val="left" w:pos="0"/>
        </w:tabs>
        <w:overflowPunct/>
        <w:autoSpaceDE/>
        <w:autoSpaceDN/>
        <w:adjustRightInd/>
        <w:spacing w:before="100" w:beforeAutospacing="1" w:after="100" w:afterAutospacing="1" w:line="276" w:lineRule="auto"/>
        <w:jc w:val="both"/>
        <w:textAlignment w:val="auto"/>
        <w:rPr>
          <w:sz w:val="24"/>
          <w:szCs w:val="24"/>
        </w:rPr>
      </w:pPr>
      <w:r>
        <w:rPr>
          <w:sz w:val="24"/>
          <w:szCs w:val="24"/>
        </w:rPr>
        <w:tab/>
      </w:r>
      <w:r w:rsidR="00960593">
        <w:rPr>
          <w:sz w:val="24"/>
          <w:szCs w:val="24"/>
        </w:rPr>
        <w:t>c</w:t>
      </w:r>
      <w:r>
        <w:rPr>
          <w:sz w:val="24"/>
          <w:szCs w:val="24"/>
        </w:rPr>
        <w:t xml:space="preserve">h1) </w:t>
      </w:r>
      <w:r w:rsidR="00883BFD">
        <w:rPr>
          <w:sz w:val="24"/>
          <w:szCs w:val="24"/>
        </w:rPr>
        <w:t xml:space="preserve">zjednodušená </w:t>
      </w:r>
      <w:r w:rsidR="00701EEE">
        <w:rPr>
          <w:sz w:val="24"/>
          <w:szCs w:val="24"/>
        </w:rPr>
        <w:t xml:space="preserve">kontrola </w:t>
      </w:r>
    </w:p>
    <w:p w14:paraId="6282D9CD" w14:textId="45BD9D09" w:rsidR="009C0131" w:rsidRDefault="00724D38" w:rsidP="004713EF">
      <w:pPr>
        <w:tabs>
          <w:tab w:val="left" w:pos="0"/>
        </w:tabs>
        <w:overflowPunct/>
        <w:autoSpaceDE/>
        <w:autoSpaceDN/>
        <w:adjustRightInd/>
        <w:spacing w:before="100" w:beforeAutospacing="1" w:after="100" w:afterAutospacing="1" w:line="276" w:lineRule="auto"/>
        <w:jc w:val="both"/>
        <w:textAlignment w:val="auto"/>
        <w:rPr>
          <w:sz w:val="24"/>
          <w:szCs w:val="24"/>
        </w:rPr>
      </w:pPr>
      <w:r>
        <w:rPr>
          <w:sz w:val="24"/>
          <w:szCs w:val="24"/>
        </w:rPr>
        <w:tab/>
      </w:r>
      <w:r w:rsidR="00960593">
        <w:rPr>
          <w:sz w:val="24"/>
          <w:szCs w:val="24"/>
        </w:rPr>
        <w:t>c</w:t>
      </w:r>
      <w:r>
        <w:rPr>
          <w:sz w:val="24"/>
          <w:szCs w:val="24"/>
        </w:rPr>
        <w:t xml:space="preserve">h2) </w:t>
      </w:r>
      <w:r w:rsidR="00701EEE">
        <w:rPr>
          <w:sz w:val="24"/>
          <w:szCs w:val="24"/>
        </w:rPr>
        <w:t xml:space="preserve">podrobná kontrola. </w:t>
      </w:r>
    </w:p>
    <w:p w14:paraId="50EA7134" w14:textId="2E8D54BF" w:rsidR="00701EEE" w:rsidRDefault="00C07DEA" w:rsidP="004713EF">
      <w:pPr>
        <w:pStyle w:val="Odstavecseseznamem"/>
        <w:tabs>
          <w:tab w:val="left" w:pos="0"/>
          <w:tab w:val="left" w:pos="426"/>
        </w:tabs>
        <w:overflowPunct/>
        <w:autoSpaceDE/>
        <w:autoSpaceDN/>
        <w:adjustRightInd/>
        <w:spacing w:before="100" w:beforeAutospacing="1" w:after="100" w:afterAutospacing="1" w:line="276" w:lineRule="auto"/>
        <w:ind w:left="426" w:hanging="426"/>
        <w:jc w:val="both"/>
        <w:textAlignment w:val="auto"/>
        <w:rPr>
          <w:sz w:val="24"/>
          <w:szCs w:val="24"/>
        </w:rPr>
      </w:pPr>
      <w:r>
        <w:rPr>
          <w:sz w:val="24"/>
          <w:szCs w:val="24"/>
        </w:rPr>
        <w:lastRenderedPageBreak/>
        <w:t>i</w:t>
      </w:r>
      <w:r w:rsidR="009E0D89">
        <w:rPr>
          <w:sz w:val="24"/>
          <w:szCs w:val="24"/>
        </w:rPr>
        <w:t xml:space="preserve">) </w:t>
      </w:r>
      <w:r w:rsidR="00B355E6">
        <w:rPr>
          <w:sz w:val="24"/>
          <w:szCs w:val="24"/>
        </w:rPr>
        <w:t>Zjednodušená</w:t>
      </w:r>
      <w:r w:rsidR="00883BFD">
        <w:rPr>
          <w:sz w:val="24"/>
          <w:szCs w:val="24"/>
        </w:rPr>
        <w:t xml:space="preserve"> </w:t>
      </w:r>
      <w:r w:rsidR="00701EEE">
        <w:rPr>
          <w:sz w:val="24"/>
          <w:szCs w:val="24"/>
        </w:rPr>
        <w:t xml:space="preserve">kontrola podle bodu </w:t>
      </w:r>
      <w:r w:rsidR="00F43B39">
        <w:rPr>
          <w:sz w:val="24"/>
          <w:szCs w:val="24"/>
        </w:rPr>
        <w:t>h</w:t>
      </w:r>
      <w:r w:rsidR="00724D38">
        <w:rPr>
          <w:sz w:val="24"/>
          <w:szCs w:val="24"/>
        </w:rPr>
        <w:t>1</w:t>
      </w:r>
      <w:r w:rsidR="00701EEE">
        <w:rPr>
          <w:sz w:val="24"/>
          <w:szCs w:val="24"/>
        </w:rPr>
        <w:t xml:space="preserve">) bude zaměřena na skupinovou kontrolu rozdělenou na </w:t>
      </w:r>
      <w:r w:rsidR="00724D38">
        <w:rPr>
          <w:sz w:val="24"/>
          <w:szCs w:val="24"/>
        </w:rPr>
        <w:t>kumulaci</w:t>
      </w:r>
      <w:r w:rsidR="00701EEE">
        <w:rPr>
          <w:sz w:val="24"/>
          <w:szCs w:val="24"/>
        </w:rPr>
        <w:t xml:space="preserve"> podpory podle bodů </w:t>
      </w:r>
      <w:r w:rsidR="00960593">
        <w:rPr>
          <w:sz w:val="24"/>
          <w:szCs w:val="24"/>
        </w:rPr>
        <w:t>h</w:t>
      </w:r>
      <w:r w:rsidR="00701EEE">
        <w:rPr>
          <w:sz w:val="24"/>
          <w:szCs w:val="24"/>
        </w:rPr>
        <w:t xml:space="preserve">.1) až </w:t>
      </w:r>
      <w:r w:rsidR="00960593">
        <w:rPr>
          <w:sz w:val="24"/>
          <w:szCs w:val="24"/>
        </w:rPr>
        <w:t>h</w:t>
      </w:r>
      <w:r w:rsidR="00701EEE">
        <w:rPr>
          <w:sz w:val="24"/>
          <w:szCs w:val="24"/>
        </w:rPr>
        <w:t xml:space="preserve">.5). </w:t>
      </w:r>
    </w:p>
    <w:p w14:paraId="4D05A8AA" w14:textId="77777777" w:rsidR="00883BFD" w:rsidRDefault="00883BFD" w:rsidP="004713EF">
      <w:pPr>
        <w:pStyle w:val="Odstavecseseznamem"/>
        <w:tabs>
          <w:tab w:val="left" w:pos="0"/>
        </w:tabs>
        <w:overflowPunct/>
        <w:autoSpaceDE/>
        <w:autoSpaceDN/>
        <w:adjustRightInd/>
        <w:spacing w:before="100" w:beforeAutospacing="1" w:after="100" w:afterAutospacing="1" w:line="276" w:lineRule="auto"/>
        <w:ind w:left="284"/>
        <w:jc w:val="both"/>
        <w:textAlignment w:val="auto"/>
        <w:rPr>
          <w:sz w:val="24"/>
          <w:szCs w:val="24"/>
        </w:rPr>
      </w:pPr>
    </w:p>
    <w:p w14:paraId="6D245440" w14:textId="4EC791A2" w:rsidR="009C0131" w:rsidRPr="00701EEE" w:rsidRDefault="00701EEE" w:rsidP="000B4301">
      <w:pPr>
        <w:pStyle w:val="Odstavecseseznamem"/>
        <w:numPr>
          <w:ilvl w:val="0"/>
          <w:numId w:val="13"/>
        </w:numPr>
        <w:tabs>
          <w:tab w:val="left" w:pos="0"/>
        </w:tabs>
        <w:overflowPunct/>
        <w:autoSpaceDE/>
        <w:autoSpaceDN/>
        <w:adjustRightInd/>
        <w:spacing w:before="100" w:beforeAutospacing="1" w:after="100" w:afterAutospacing="1" w:line="276" w:lineRule="auto"/>
        <w:ind w:left="709" w:hanging="283"/>
        <w:jc w:val="both"/>
        <w:textAlignment w:val="auto"/>
        <w:rPr>
          <w:i/>
          <w:sz w:val="24"/>
          <w:szCs w:val="24"/>
        </w:rPr>
      </w:pPr>
      <w:r w:rsidRPr="00701EEE">
        <w:rPr>
          <w:i/>
          <w:sz w:val="24"/>
          <w:szCs w:val="24"/>
        </w:rPr>
        <w:t xml:space="preserve">Skupinová kontrola bude zahrnovat </w:t>
      </w:r>
      <w:r w:rsidR="000675E2">
        <w:rPr>
          <w:i/>
          <w:sz w:val="24"/>
          <w:szCs w:val="24"/>
        </w:rPr>
        <w:t>minimálně</w:t>
      </w:r>
      <w:r w:rsidR="000675E2" w:rsidRPr="00701EEE">
        <w:rPr>
          <w:i/>
          <w:sz w:val="24"/>
          <w:szCs w:val="24"/>
        </w:rPr>
        <w:t xml:space="preserve"> </w:t>
      </w:r>
      <w:r w:rsidR="000675E2">
        <w:rPr>
          <w:i/>
          <w:sz w:val="24"/>
          <w:szCs w:val="24"/>
        </w:rPr>
        <w:t xml:space="preserve">10 zdrojů </w:t>
      </w:r>
      <w:r w:rsidR="000675E2" w:rsidRPr="00701EEE">
        <w:rPr>
          <w:i/>
          <w:sz w:val="24"/>
          <w:szCs w:val="24"/>
        </w:rPr>
        <w:t xml:space="preserve"> </w:t>
      </w:r>
      <w:r w:rsidRPr="00701EEE">
        <w:rPr>
          <w:i/>
          <w:sz w:val="24"/>
          <w:szCs w:val="24"/>
        </w:rPr>
        <w:t>z každého druhu OZE</w:t>
      </w:r>
      <w:r w:rsidR="00BB0DF4">
        <w:rPr>
          <w:i/>
          <w:sz w:val="24"/>
          <w:szCs w:val="24"/>
        </w:rPr>
        <w:t xml:space="preserve"> (pokud daná skupina zdrojů bude tento počet zdrojů obsahovat)</w:t>
      </w:r>
      <w:r w:rsidRPr="00701EEE">
        <w:rPr>
          <w:i/>
          <w:sz w:val="24"/>
          <w:szCs w:val="24"/>
        </w:rPr>
        <w:t>.</w:t>
      </w:r>
    </w:p>
    <w:p w14:paraId="25C11AEE" w14:textId="2FDD6907" w:rsidR="00042F45" w:rsidRPr="00582A1C" w:rsidRDefault="00A50201" w:rsidP="00C16217">
      <w:pPr>
        <w:pStyle w:val="Odstavecseseznamem"/>
        <w:numPr>
          <w:ilvl w:val="0"/>
          <w:numId w:val="15"/>
        </w:numPr>
        <w:tabs>
          <w:tab w:val="left" w:pos="0"/>
        </w:tabs>
        <w:overflowPunct/>
        <w:autoSpaceDE/>
        <w:autoSpaceDN/>
        <w:adjustRightInd/>
        <w:spacing w:before="100" w:beforeAutospacing="1" w:after="100" w:afterAutospacing="1" w:line="276" w:lineRule="auto"/>
        <w:ind w:left="709" w:hanging="283"/>
        <w:jc w:val="both"/>
        <w:textAlignment w:val="auto"/>
      </w:pPr>
      <w:r>
        <w:rPr>
          <w:i/>
          <w:sz w:val="24"/>
          <w:szCs w:val="24"/>
        </w:rPr>
        <w:t xml:space="preserve">Speciálně bude u skupinové kontroly </w:t>
      </w:r>
      <w:r w:rsidR="000675E2">
        <w:rPr>
          <w:i/>
          <w:sz w:val="24"/>
          <w:szCs w:val="24"/>
        </w:rPr>
        <w:t xml:space="preserve">zdrojů </w:t>
      </w:r>
      <w:r>
        <w:rPr>
          <w:i/>
          <w:sz w:val="24"/>
          <w:szCs w:val="24"/>
        </w:rPr>
        <w:t>ov</w:t>
      </w:r>
      <w:r w:rsidR="00B355E6">
        <w:rPr>
          <w:i/>
          <w:sz w:val="24"/>
          <w:szCs w:val="24"/>
        </w:rPr>
        <w:t>ě</w:t>
      </w:r>
      <w:r>
        <w:rPr>
          <w:i/>
          <w:sz w:val="24"/>
          <w:szCs w:val="24"/>
        </w:rPr>
        <w:t xml:space="preserve">řeno, zda </w:t>
      </w:r>
      <w:r w:rsidR="00701EEE">
        <w:rPr>
          <w:i/>
          <w:sz w:val="24"/>
          <w:szCs w:val="24"/>
        </w:rPr>
        <w:t xml:space="preserve"> </w:t>
      </w:r>
      <w:r w:rsidR="00883BFD">
        <w:rPr>
          <w:i/>
          <w:sz w:val="24"/>
          <w:szCs w:val="24"/>
        </w:rPr>
        <w:t xml:space="preserve">v rámci </w:t>
      </w:r>
      <w:r w:rsidR="00701EEE">
        <w:rPr>
          <w:i/>
          <w:sz w:val="24"/>
          <w:szCs w:val="24"/>
        </w:rPr>
        <w:t>poskytování</w:t>
      </w:r>
      <w:r w:rsidR="00701EEE" w:rsidRPr="00701EEE">
        <w:rPr>
          <w:i/>
          <w:sz w:val="24"/>
          <w:szCs w:val="24"/>
        </w:rPr>
        <w:t xml:space="preserve"> </w:t>
      </w:r>
      <w:r w:rsidR="00883BFD">
        <w:rPr>
          <w:i/>
          <w:sz w:val="24"/>
          <w:szCs w:val="24"/>
        </w:rPr>
        <w:t xml:space="preserve">velmi omezené výše </w:t>
      </w:r>
      <w:r>
        <w:rPr>
          <w:i/>
          <w:sz w:val="24"/>
          <w:szCs w:val="24"/>
        </w:rPr>
        <w:t>některých dalších</w:t>
      </w:r>
      <w:r w:rsidRPr="00701EEE">
        <w:rPr>
          <w:i/>
          <w:sz w:val="24"/>
          <w:szCs w:val="24"/>
        </w:rPr>
        <w:t xml:space="preserve"> </w:t>
      </w:r>
      <w:r w:rsidR="00701EEE" w:rsidRPr="00701EEE">
        <w:rPr>
          <w:i/>
          <w:sz w:val="24"/>
          <w:szCs w:val="24"/>
        </w:rPr>
        <w:t>provozních podpor (</w:t>
      </w:r>
      <w:r w:rsidR="001803CE">
        <w:rPr>
          <w:i/>
          <w:sz w:val="24"/>
          <w:szCs w:val="24"/>
        </w:rPr>
        <w:t xml:space="preserve">především podpor uvedených v bodě </w:t>
      </w:r>
      <w:r w:rsidR="00701EEE" w:rsidRPr="00701EEE">
        <w:rPr>
          <w:i/>
          <w:sz w:val="24"/>
          <w:szCs w:val="24"/>
        </w:rPr>
        <w:t xml:space="preserve"> </w:t>
      </w:r>
      <w:r w:rsidR="00960593">
        <w:rPr>
          <w:i/>
          <w:sz w:val="24"/>
          <w:szCs w:val="24"/>
        </w:rPr>
        <w:t>h</w:t>
      </w:r>
      <w:r w:rsidR="00701EEE" w:rsidRPr="00701EEE">
        <w:rPr>
          <w:i/>
          <w:sz w:val="24"/>
          <w:szCs w:val="24"/>
        </w:rPr>
        <w:t xml:space="preserve">.1) až </w:t>
      </w:r>
      <w:r w:rsidR="00960593">
        <w:rPr>
          <w:i/>
          <w:sz w:val="24"/>
          <w:szCs w:val="24"/>
        </w:rPr>
        <w:t>h</w:t>
      </w:r>
      <w:r w:rsidR="00701EEE" w:rsidRPr="00701EEE">
        <w:rPr>
          <w:i/>
          <w:sz w:val="24"/>
          <w:szCs w:val="24"/>
        </w:rPr>
        <w:t>.4)</w:t>
      </w:r>
      <w:r w:rsidR="001803CE">
        <w:rPr>
          <w:i/>
          <w:sz w:val="24"/>
          <w:szCs w:val="24"/>
        </w:rPr>
        <w:t>, ale i n</w:t>
      </w:r>
      <w:r w:rsidR="00724D38">
        <w:rPr>
          <w:i/>
          <w:sz w:val="24"/>
          <w:szCs w:val="24"/>
        </w:rPr>
        <w:t>í</w:t>
      </w:r>
      <w:r w:rsidR="001803CE">
        <w:rPr>
          <w:i/>
          <w:sz w:val="24"/>
          <w:szCs w:val="24"/>
        </w:rPr>
        <w:t xml:space="preserve">zké podpory </w:t>
      </w:r>
      <w:r w:rsidR="00724D38">
        <w:rPr>
          <w:i/>
          <w:sz w:val="24"/>
          <w:szCs w:val="24"/>
        </w:rPr>
        <w:t xml:space="preserve">uvedené </w:t>
      </w:r>
      <w:r w:rsidR="001803CE">
        <w:rPr>
          <w:i/>
          <w:sz w:val="24"/>
          <w:szCs w:val="24"/>
        </w:rPr>
        <w:t xml:space="preserve">v bodě </w:t>
      </w:r>
      <w:r w:rsidR="00960593">
        <w:rPr>
          <w:i/>
          <w:sz w:val="24"/>
          <w:szCs w:val="24"/>
        </w:rPr>
        <w:t>h</w:t>
      </w:r>
      <w:r w:rsidR="001803CE">
        <w:rPr>
          <w:i/>
          <w:sz w:val="24"/>
          <w:szCs w:val="24"/>
        </w:rPr>
        <w:t>.5)</w:t>
      </w:r>
      <w:r w:rsidR="00701EEE" w:rsidRPr="00701EEE">
        <w:rPr>
          <w:i/>
          <w:sz w:val="24"/>
          <w:szCs w:val="24"/>
        </w:rPr>
        <w:t xml:space="preserve">), </w:t>
      </w:r>
      <w:r>
        <w:rPr>
          <w:i/>
          <w:sz w:val="24"/>
          <w:szCs w:val="24"/>
        </w:rPr>
        <w:t>jsou</w:t>
      </w:r>
      <w:r w:rsidR="00B355E6">
        <w:rPr>
          <w:i/>
          <w:sz w:val="24"/>
          <w:szCs w:val="24"/>
        </w:rPr>
        <w:t xml:space="preserve"> </w:t>
      </w:r>
      <w:r>
        <w:rPr>
          <w:i/>
          <w:sz w:val="24"/>
          <w:szCs w:val="24"/>
        </w:rPr>
        <w:t xml:space="preserve">„generovány“ těmito podporami pouze nízké hodnoty IRR, a to do </w:t>
      </w:r>
      <w:r w:rsidR="00082B25">
        <w:rPr>
          <w:i/>
          <w:sz w:val="24"/>
          <w:szCs w:val="24"/>
        </w:rPr>
        <w:t>výše</w:t>
      </w:r>
      <w:r>
        <w:rPr>
          <w:i/>
          <w:sz w:val="24"/>
          <w:szCs w:val="24"/>
        </w:rPr>
        <w:t xml:space="preserve"> 0,1 %. </w:t>
      </w:r>
      <w:r w:rsidR="00042F45">
        <w:rPr>
          <w:i/>
          <w:sz w:val="24"/>
          <w:szCs w:val="24"/>
        </w:rPr>
        <w:t xml:space="preserve">Tato situace se </w:t>
      </w:r>
      <w:r>
        <w:rPr>
          <w:i/>
          <w:sz w:val="24"/>
          <w:szCs w:val="24"/>
        </w:rPr>
        <w:t>může</w:t>
      </w:r>
      <w:r w:rsidR="00CE0367">
        <w:rPr>
          <w:i/>
          <w:sz w:val="24"/>
          <w:szCs w:val="24"/>
        </w:rPr>
        <w:t>,</w:t>
      </w:r>
      <w:r>
        <w:rPr>
          <w:i/>
          <w:sz w:val="24"/>
          <w:szCs w:val="24"/>
        </w:rPr>
        <w:t xml:space="preserve"> </w:t>
      </w:r>
      <w:r w:rsidR="00B20172">
        <w:rPr>
          <w:i/>
          <w:sz w:val="24"/>
          <w:szCs w:val="24"/>
        </w:rPr>
        <w:t xml:space="preserve">dle dosavadních odhadů </w:t>
      </w:r>
      <w:r>
        <w:rPr>
          <w:i/>
          <w:sz w:val="24"/>
          <w:szCs w:val="24"/>
        </w:rPr>
        <w:t>a předpokladů</w:t>
      </w:r>
      <w:r w:rsidR="00CE0367">
        <w:rPr>
          <w:i/>
          <w:sz w:val="24"/>
          <w:szCs w:val="24"/>
        </w:rPr>
        <w:t>,</w:t>
      </w:r>
      <w:r>
        <w:rPr>
          <w:i/>
          <w:sz w:val="24"/>
          <w:szCs w:val="24"/>
        </w:rPr>
        <w:t xml:space="preserve"> </w:t>
      </w:r>
      <w:r w:rsidR="00042F45">
        <w:rPr>
          <w:i/>
          <w:sz w:val="24"/>
          <w:szCs w:val="24"/>
        </w:rPr>
        <w:t>týkat předevší</w:t>
      </w:r>
      <w:r w:rsidR="00B355E6">
        <w:rPr>
          <w:i/>
          <w:sz w:val="24"/>
          <w:szCs w:val="24"/>
        </w:rPr>
        <w:t>m</w:t>
      </w:r>
      <w:r w:rsidR="00042F45">
        <w:rPr>
          <w:i/>
          <w:sz w:val="24"/>
          <w:szCs w:val="24"/>
        </w:rPr>
        <w:t xml:space="preserve"> nepalivových zdrojů OZE, kde docházelo s podporou elektřiny z OZE ke kumulaci také s podporou decentrální výroby elektřiny, což byla však jediná možná provozní podpora, která mohla být s  podporou elektřiny z OZE u těchto zdrojů OZE kumulována. Jelikož podpora decentrální výroby elektřiny byla časově omezená</w:t>
      </w:r>
      <w:r w:rsidR="008D0EAE">
        <w:rPr>
          <w:rStyle w:val="Znakapoznpodarou"/>
          <w:i/>
          <w:sz w:val="24"/>
          <w:szCs w:val="24"/>
        </w:rPr>
        <w:footnoteReference w:id="7"/>
      </w:r>
      <w:r w:rsidR="00960593">
        <w:rPr>
          <w:i/>
          <w:sz w:val="24"/>
          <w:szCs w:val="24"/>
        </w:rPr>
        <w:t>,</w:t>
      </w:r>
      <w:r w:rsidR="00042F45">
        <w:rPr>
          <w:i/>
          <w:sz w:val="24"/>
          <w:szCs w:val="24"/>
        </w:rPr>
        <w:t xml:space="preserve">  </w:t>
      </w:r>
      <w:r w:rsidR="00C16217">
        <w:rPr>
          <w:i/>
          <w:sz w:val="24"/>
          <w:szCs w:val="24"/>
        </w:rPr>
        <w:t xml:space="preserve">poskytování </w:t>
      </w:r>
      <w:r w:rsidR="00042F45">
        <w:rPr>
          <w:i/>
          <w:sz w:val="24"/>
          <w:szCs w:val="24"/>
        </w:rPr>
        <w:t xml:space="preserve">podpora </w:t>
      </w:r>
      <w:r w:rsidR="00C16217">
        <w:rPr>
          <w:i/>
          <w:sz w:val="24"/>
          <w:szCs w:val="24"/>
        </w:rPr>
        <w:t xml:space="preserve">bylo </w:t>
      </w:r>
      <w:r w:rsidR="00042F45">
        <w:rPr>
          <w:i/>
          <w:sz w:val="24"/>
          <w:szCs w:val="24"/>
        </w:rPr>
        <w:t>od 1. ledna 201</w:t>
      </w:r>
      <w:r w:rsidR="00960593">
        <w:rPr>
          <w:i/>
          <w:sz w:val="24"/>
          <w:szCs w:val="24"/>
        </w:rPr>
        <w:t>6</w:t>
      </w:r>
      <w:r w:rsidR="00042F45">
        <w:rPr>
          <w:i/>
          <w:sz w:val="24"/>
          <w:szCs w:val="24"/>
        </w:rPr>
        <w:t xml:space="preserve"> </w:t>
      </w:r>
      <w:r w:rsidR="00C16217">
        <w:rPr>
          <w:i/>
          <w:sz w:val="24"/>
          <w:szCs w:val="24"/>
        </w:rPr>
        <w:t xml:space="preserve">již ukončeno </w:t>
      </w:r>
      <w:r w:rsidR="00042F45">
        <w:rPr>
          <w:i/>
          <w:sz w:val="24"/>
          <w:szCs w:val="24"/>
        </w:rPr>
        <w:t>a výše podpory byla na velmi nízké úrovně</w:t>
      </w:r>
      <w:r w:rsidR="008D0EAE">
        <w:rPr>
          <w:rStyle w:val="Znakapoznpodarou"/>
          <w:i/>
          <w:sz w:val="24"/>
          <w:szCs w:val="24"/>
        </w:rPr>
        <w:footnoteReference w:id="8"/>
      </w:r>
      <w:r w:rsidR="00CE0367">
        <w:rPr>
          <w:i/>
          <w:sz w:val="24"/>
          <w:szCs w:val="24"/>
        </w:rPr>
        <w:t>.</w:t>
      </w:r>
      <w:r w:rsidR="00042F45">
        <w:rPr>
          <w:i/>
          <w:sz w:val="24"/>
          <w:szCs w:val="24"/>
        </w:rPr>
        <w:t xml:space="preserve"> </w:t>
      </w:r>
      <w:r w:rsidR="00CE0367">
        <w:rPr>
          <w:i/>
          <w:sz w:val="24"/>
          <w:szCs w:val="24"/>
        </w:rPr>
        <w:t>J</w:t>
      </w:r>
      <w:r w:rsidR="008D0EAE">
        <w:rPr>
          <w:i/>
          <w:sz w:val="24"/>
          <w:szCs w:val="24"/>
        </w:rPr>
        <w:t xml:space="preserve">e možné </w:t>
      </w:r>
      <w:r w:rsidR="00CE0367">
        <w:rPr>
          <w:i/>
          <w:sz w:val="24"/>
          <w:szCs w:val="24"/>
        </w:rPr>
        <w:t xml:space="preserve">tedy </w:t>
      </w:r>
      <w:r w:rsidR="00042F45">
        <w:rPr>
          <w:i/>
          <w:sz w:val="24"/>
          <w:szCs w:val="24"/>
        </w:rPr>
        <w:t xml:space="preserve">reálně předpokládat a odhadovat, že </w:t>
      </w:r>
      <w:r w:rsidR="00CE0367">
        <w:rPr>
          <w:i/>
          <w:sz w:val="24"/>
          <w:szCs w:val="24"/>
        </w:rPr>
        <w:t xml:space="preserve">„příspěvek“ čerpané podpory decentrální výroby elektřiny při její </w:t>
      </w:r>
      <w:r w:rsidR="00042F45">
        <w:rPr>
          <w:i/>
          <w:sz w:val="24"/>
          <w:szCs w:val="24"/>
        </w:rPr>
        <w:t>kumulac</w:t>
      </w:r>
      <w:r w:rsidR="00CE0367">
        <w:rPr>
          <w:i/>
          <w:sz w:val="24"/>
          <w:szCs w:val="24"/>
        </w:rPr>
        <w:t>i</w:t>
      </w:r>
      <w:r w:rsidR="00042F45">
        <w:rPr>
          <w:i/>
          <w:sz w:val="24"/>
          <w:szCs w:val="24"/>
        </w:rPr>
        <w:t xml:space="preserve"> </w:t>
      </w:r>
      <w:r w:rsidR="00CE0367">
        <w:rPr>
          <w:i/>
          <w:sz w:val="24"/>
          <w:szCs w:val="24"/>
        </w:rPr>
        <w:t xml:space="preserve">s </w:t>
      </w:r>
      <w:r w:rsidR="00042F45">
        <w:rPr>
          <w:i/>
          <w:sz w:val="24"/>
          <w:szCs w:val="24"/>
        </w:rPr>
        <w:t>podpor</w:t>
      </w:r>
      <w:r w:rsidR="00CE0367">
        <w:rPr>
          <w:i/>
          <w:sz w:val="24"/>
          <w:szCs w:val="24"/>
        </w:rPr>
        <w:t>ou</w:t>
      </w:r>
      <w:r w:rsidR="00042F45">
        <w:rPr>
          <w:i/>
          <w:sz w:val="24"/>
          <w:szCs w:val="24"/>
        </w:rPr>
        <w:t xml:space="preserve"> elektřiny z OZE je zanedbatelný a </w:t>
      </w:r>
      <w:r w:rsidR="00082B25">
        <w:rPr>
          <w:i/>
          <w:sz w:val="24"/>
          <w:szCs w:val="24"/>
        </w:rPr>
        <w:t xml:space="preserve">neměl by většinou nepřekračovat </w:t>
      </w:r>
      <w:r w:rsidR="00042F45">
        <w:rPr>
          <w:i/>
          <w:sz w:val="24"/>
          <w:szCs w:val="24"/>
        </w:rPr>
        <w:t xml:space="preserve">hodnotu </w:t>
      </w:r>
      <w:r w:rsidR="00960593">
        <w:rPr>
          <w:i/>
          <w:sz w:val="24"/>
          <w:szCs w:val="24"/>
        </w:rPr>
        <w:t xml:space="preserve">0,1 % </w:t>
      </w:r>
      <w:r w:rsidR="00042F45">
        <w:rPr>
          <w:i/>
          <w:sz w:val="24"/>
          <w:szCs w:val="24"/>
        </w:rPr>
        <w:t>IRR.</w:t>
      </w:r>
      <w:r w:rsidR="00AA12D4">
        <w:rPr>
          <w:i/>
          <w:sz w:val="24"/>
          <w:szCs w:val="24"/>
        </w:rPr>
        <w:t xml:space="preserve"> </w:t>
      </w:r>
      <w:r w:rsidR="000675E2">
        <w:rPr>
          <w:i/>
          <w:sz w:val="24"/>
          <w:szCs w:val="24"/>
        </w:rPr>
        <w:t xml:space="preserve">V případě prokázání výše uvedeného předpokladu </w:t>
      </w:r>
      <w:r w:rsidR="00082B25">
        <w:rPr>
          <w:i/>
          <w:sz w:val="24"/>
          <w:szCs w:val="24"/>
        </w:rPr>
        <w:t xml:space="preserve">hodnoty IRR </w:t>
      </w:r>
      <w:r w:rsidR="00D96E0A">
        <w:rPr>
          <w:i/>
          <w:sz w:val="24"/>
          <w:szCs w:val="24"/>
        </w:rPr>
        <w:t>gen</w:t>
      </w:r>
      <w:r w:rsidR="00082B25">
        <w:rPr>
          <w:i/>
          <w:sz w:val="24"/>
          <w:szCs w:val="24"/>
        </w:rPr>
        <w:t xml:space="preserve">erovaného z důvodu poskytování podpory decentrální výroby elektřiny </w:t>
      </w:r>
      <w:r w:rsidR="000675E2">
        <w:rPr>
          <w:i/>
          <w:sz w:val="24"/>
          <w:szCs w:val="24"/>
        </w:rPr>
        <w:t>budou skupiny těchto zdrojů</w:t>
      </w:r>
      <w:r w:rsidR="00082B25">
        <w:rPr>
          <w:i/>
          <w:sz w:val="24"/>
          <w:szCs w:val="24"/>
        </w:rPr>
        <w:t xml:space="preserve">, které kumulovali pouze provozní podporu elektřiny z OZE a podporu </w:t>
      </w:r>
      <w:r w:rsidR="00B355E6">
        <w:rPr>
          <w:i/>
          <w:sz w:val="24"/>
          <w:szCs w:val="24"/>
        </w:rPr>
        <w:t xml:space="preserve">decentrální </w:t>
      </w:r>
      <w:r w:rsidR="00082B25">
        <w:rPr>
          <w:i/>
          <w:sz w:val="24"/>
          <w:szCs w:val="24"/>
        </w:rPr>
        <w:t>výroby elektřiny</w:t>
      </w:r>
      <w:r w:rsidR="000675E2">
        <w:rPr>
          <w:i/>
          <w:sz w:val="24"/>
          <w:szCs w:val="24"/>
        </w:rPr>
        <w:t xml:space="preserve"> přesunuty do linie kontroly reprezentativního vzorku zdrojů</w:t>
      </w:r>
      <w:r w:rsidR="00082B25">
        <w:rPr>
          <w:i/>
          <w:sz w:val="24"/>
          <w:szCs w:val="24"/>
        </w:rPr>
        <w:t xml:space="preserve"> (a bylo by možné také u této skupiny zdrojů „generálně“ upustit od individuální kontroly)</w:t>
      </w:r>
      <w:r w:rsidR="000675E2">
        <w:rPr>
          <w:i/>
          <w:sz w:val="24"/>
          <w:szCs w:val="24"/>
        </w:rPr>
        <w:t xml:space="preserve">. </w:t>
      </w:r>
      <w:r w:rsidR="00082B25">
        <w:rPr>
          <w:i/>
          <w:sz w:val="24"/>
          <w:szCs w:val="24"/>
        </w:rPr>
        <w:t xml:space="preserve">Stejné speciální prověření bude vhodné provést také u skupiny zdrojů, které kumulovali podporu elektřiny z OZE s podporou elektřiny z vysokoúčinné kombinované výroby elektřiny a tepla (nebo </w:t>
      </w:r>
      <w:r w:rsidR="00D96E0A">
        <w:rPr>
          <w:i/>
          <w:sz w:val="24"/>
          <w:szCs w:val="24"/>
        </w:rPr>
        <w:t xml:space="preserve">podpory elektřiny z </w:t>
      </w:r>
      <w:r w:rsidR="00082B25">
        <w:rPr>
          <w:i/>
          <w:sz w:val="24"/>
          <w:szCs w:val="24"/>
        </w:rPr>
        <w:t xml:space="preserve">druhotných zdrojů), kde výše této podpory je také příslušně omezena. </w:t>
      </w:r>
      <w:r w:rsidR="00AA12D4">
        <w:rPr>
          <w:i/>
          <w:sz w:val="24"/>
          <w:szCs w:val="24"/>
        </w:rPr>
        <w:t xml:space="preserve">Tímto postupem by se docílilo </w:t>
      </w:r>
      <w:r w:rsidR="000675E2">
        <w:rPr>
          <w:i/>
          <w:sz w:val="24"/>
          <w:szCs w:val="24"/>
        </w:rPr>
        <w:t>omezení velkého administrativního dopadu při provádění mech</w:t>
      </w:r>
      <w:r w:rsidR="00082B25">
        <w:rPr>
          <w:i/>
          <w:sz w:val="24"/>
          <w:szCs w:val="24"/>
        </w:rPr>
        <w:t>a</w:t>
      </w:r>
      <w:r w:rsidR="000675E2">
        <w:rPr>
          <w:i/>
          <w:sz w:val="24"/>
          <w:szCs w:val="24"/>
        </w:rPr>
        <w:t xml:space="preserve">nismu </w:t>
      </w:r>
      <w:r w:rsidR="00082B25">
        <w:rPr>
          <w:i/>
          <w:sz w:val="24"/>
          <w:szCs w:val="24"/>
        </w:rPr>
        <w:t xml:space="preserve">kontroly přiměřenosti podpory </w:t>
      </w:r>
      <w:r w:rsidR="000675E2">
        <w:rPr>
          <w:i/>
          <w:sz w:val="24"/>
          <w:szCs w:val="24"/>
        </w:rPr>
        <w:t>jak na samotné výrobce elektřiny, tak také na státní správu</w:t>
      </w:r>
      <w:r w:rsidR="00D96E0A">
        <w:rPr>
          <w:i/>
          <w:sz w:val="24"/>
          <w:szCs w:val="24"/>
        </w:rPr>
        <w:t xml:space="preserve"> a t</w:t>
      </w:r>
      <w:r w:rsidR="00D96E0A" w:rsidRPr="008D0EAE">
        <w:rPr>
          <w:i/>
          <w:sz w:val="24"/>
          <w:szCs w:val="24"/>
        </w:rPr>
        <w:t>ento postup se navrhuje v důsledku přiměřenosti a efektivnosti administrativní zátěže celého mechanismu</w:t>
      </w:r>
      <w:r w:rsidR="00D96E0A">
        <w:rPr>
          <w:i/>
          <w:sz w:val="24"/>
          <w:szCs w:val="24"/>
        </w:rPr>
        <w:t xml:space="preserve"> kontroly přiměřenosti podpory</w:t>
      </w:r>
    </w:p>
    <w:p w14:paraId="4756D9B8" w14:textId="5C130D41" w:rsidR="00883BFD" w:rsidRPr="00E9234F" w:rsidRDefault="00571302" w:rsidP="000B4301">
      <w:pPr>
        <w:pStyle w:val="Odstavecseseznamem"/>
        <w:numPr>
          <w:ilvl w:val="0"/>
          <w:numId w:val="12"/>
        </w:numPr>
        <w:tabs>
          <w:tab w:val="left" w:pos="0"/>
        </w:tabs>
        <w:overflowPunct/>
        <w:autoSpaceDE/>
        <w:autoSpaceDN/>
        <w:adjustRightInd/>
        <w:spacing w:before="100" w:beforeAutospacing="1" w:after="100" w:afterAutospacing="1" w:line="276" w:lineRule="auto"/>
        <w:ind w:hanging="294"/>
        <w:jc w:val="both"/>
        <w:textAlignment w:val="auto"/>
      </w:pPr>
      <w:r>
        <w:rPr>
          <w:i/>
          <w:sz w:val="24"/>
          <w:szCs w:val="24"/>
        </w:rPr>
        <w:t>U</w:t>
      </w:r>
      <w:r w:rsidR="00883BFD">
        <w:rPr>
          <w:i/>
          <w:sz w:val="24"/>
          <w:szCs w:val="24"/>
        </w:rPr>
        <w:t>veden</w:t>
      </w:r>
      <w:r w:rsidR="00D96E0A">
        <w:rPr>
          <w:i/>
          <w:sz w:val="24"/>
          <w:szCs w:val="24"/>
        </w:rPr>
        <w:t>á</w:t>
      </w:r>
      <w:r w:rsidR="00883BFD">
        <w:rPr>
          <w:i/>
          <w:sz w:val="24"/>
          <w:szCs w:val="24"/>
        </w:rPr>
        <w:t xml:space="preserve"> </w:t>
      </w:r>
      <w:r w:rsidR="00D96E0A">
        <w:rPr>
          <w:i/>
          <w:sz w:val="24"/>
          <w:szCs w:val="24"/>
        </w:rPr>
        <w:t xml:space="preserve">hodnota </w:t>
      </w:r>
      <w:r w:rsidR="00883BFD">
        <w:rPr>
          <w:i/>
          <w:sz w:val="24"/>
          <w:szCs w:val="24"/>
        </w:rPr>
        <w:t xml:space="preserve">IRR </w:t>
      </w:r>
      <w:r w:rsidR="00D96E0A">
        <w:rPr>
          <w:i/>
          <w:sz w:val="24"/>
          <w:szCs w:val="24"/>
        </w:rPr>
        <w:t xml:space="preserve">ve výši 0,1 % </w:t>
      </w:r>
      <w:r w:rsidR="00F43B39">
        <w:rPr>
          <w:i/>
          <w:sz w:val="24"/>
          <w:szCs w:val="24"/>
        </w:rPr>
        <w:t>by platil</w:t>
      </w:r>
      <w:r w:rsidR="00D96E0A">
        <w:rPr>
          <w:i/>
          <w:sz w:val="24"/>
          <w:szCs w:val="24"/>
        </w:rPr>
        <w:t>a</w:t>
      </w:r>
      <w:r w:rsidR="00F43B39">
        <w:rPr>
          <w:i/>
          <w:sz w:val="24"/>
          <w:szCs w:val="24"/>
        </w:rPr>
        <w:t xml:space="preserve"> </w:t>
      </w:r>
      <w:r w:rsidR="00883BFD">
        <w:rPr>
          <w:i/>
          <w:sz w:val="24"/>
          <w:szCs w:val="24"/>
        </w:rPr>
        <w:t xml:space="preserve">kumulativně pro všechny další </w:t>
      </w:r>
      <w:r w:rsidR="00D96E0A">
        <w:rPr>
          <w:i/>
          <w:sz w:val="24"/>
          <w:szCs w:val="24"/>
        </w:rPr>
        <w:t xml:space="preserve">jiné </w:t>
      </w:r>
      <w:r w:rsidR="00883BFD">
        <w:rPr>
          <w:i/>
          <w:sz w:val="24"/>
          <w:szCs w:val="24"/>
        </w:rPr>
        <w:t xml:space="preserve">poskytované provozní podpory </w:t>
      </w:r>
      <w:r w:rsidR="00E35AFD">
        <w:rPr>
          <w:i/>
          <w:sz w:val="24"/>
          <w:szCs w:val="24"/>
        </w:rPr>
        <w:t xml:space="preserve">k provozní podpoře elektřiny z OZE </w:t>
      </w:r>
      <w:r w:rsidR="00883BFD">
        <w:rPr>
          <w:i/>
          <w:sz w:val="24"/>
          <w:szCs w:val="24"/>
        </w:rPr>
        <w:t>pro danou výrobnu elektřiny</w:t>
      </w:r>
      <w:r w:rsidR="00D96E0A">
        <w:rPr>
          <w:i/>
          <w:sz w:val="24"/>
          <w:szCs w:val="24"/>
        </w:rPr>
        <w:t>.</w:t>
      </w:r>
      <w:r w:rsidR="00883BFD">
        <w:rPr>
          <w:i/>
          <w:sz w:val="24"/>
          <w:szCs w:val="24"/>
        </w:rPr>
        <w:t xml:space="preserve"> tedy pokud byla k podpoře elektřiny z OZE poskytována pouze jedna další provozní podpora, pak uvedené navýšení IRR se vztahuje pouze na tuto jednu další provozní podporu,</w:t>
      </w:r>
      <w:r w:rsidR="00E9234F">
        <w:rPr>
          <w:i/>
          <w:sz w:val="24"/>
          <w:szCs w:val="24"/>
        </w:rPr>
        <w:t xml:space="preserve"> avšak pokud byl</w:t>
      </w:r>
      <w:r w:rsidR="009849BD">
        <w:rPr>
          <w:i/>
          <w:sz w:val="24"/>
          <w:szCs w:val="24"/>
        </w:rPr>
        <w:t>o</w:t>
      </w:r>
      <w:r w:rsidR="00E9234F">
        <w:rPr>
          <w:i/>
          <w:sz w:val="24"/>
          <w:szCs w:val="24"/>
        </w:rPr>
        <w:t xml:space="preserve"> k podpoře elektřiny z OZE poskytováno několik </w:t>
      </w:r>
      <w:r w:rsidR="00E9234F">
        <w:rPr>
          <w:i/>
          <w:sz w:val="24"/>
          <w:szCs w:val="24"/>
        </w:rPr>
        <w:lastRenderedPageBreak/>
        <w:t>dalších provozních podpor, pak uvedené navýše</w:t>
      </w:r>
      <w:r w:rsidR="009849BD">
        <w:rPr>
          <w:i/>
          <w:sz w:val="24"/>
          <w:szCs w:val="24"/>
        </w:rPr>
        <w:t>ní</w:t>
      </w:r>
      <w:r w:rsidR="00E9234F">
        <w:rPr>
          <w:i/>
          <w:sz w:val="24"/>
          <w:szCs w:val="24"/>
        </w:rPr>
        <w:t xml:space="preserve"> IRR se vztahuje kumulativně na součet všech těchto poskytovaných podpor.</w:t>
      </w:r>
    </w:p>
    <w:p w14:paraId="69EB3398" w14:textId="0C9A42D2" w:rsidR="00E9234F" w:rsidRPr="00571302" w:rsidRDefault="00E9234F" w:rsidP="000B4301">
      <w:pPr>
        <w:pStyle w:val="Odstavecseseznamem"/>
        <w:numPr>
          <w:ilvl w:val="0"/>
          <w:numId w:val="12"/>
        </w:numPr>
        <w:tabs>
          <w:tab w:val="left" w:pos="0"/>
        </w:tabs>
        <w:overflowPunct/>
        <w:autoSpaceDE/>
        <w:autoSpaceDN/>
        <w:adjustRightInd/>
        <w:spacing w:before="100" w:beforeAutospacing="1" w:after="100" w:afterAutospacing="1" w:line="276" w:lineRule="auto"/>
        <w:ind w:hanging="294"/>
        <w:jc w:val="both"/>
        <w:textAlignment w:val="auto"/>
        <w:rPr>
          <w:i/>
          <w:sz w:val="24"/>
          <w:szCs w:val="24"/>
        </w:rPr>
      </w:pPr>
      <w:r w:rsidRPr="00E9234F">
        <w:rPr>
          <w:i/>
          <w:sz w:val="24"/>
          <w:szCs w:val="24"/>
        </w:rPr>
        <w:t>Skupinová kontrola vybran</w:t>
      </w:r>
      <w:r w:rsidR="009849BD">
        <w:rPr>
          <w:i/>
          <w:sz w:val="24"/>
          <w:szCs w:val="24"/>
        </w:rPr>
        <w:t>ých</w:t>
      </w:r>
      <w:r w:rsidRPr="00E9234F">
        <w:rPr>
          <w:i/>
          <w:sz w:val="24"/>
          <w:szCs w:val="24"/>
        </w:rPr>
        <w:t xml:space="preserve"> výrob</w:t>
      </w:r>
      <w:r w:rsidR="009849BD">
        <w:rPr>
          <w:i/>
          <w:sz w:val="24"/>
          <w:szCs w:val="24"/>
        </w:rPr>
        <w:t>e</w:t>
      </w:r>
      <w:r w:rsidRPr="00E9234F">
        <w:rPr>
          <w:i/>
          <w:sz w:val="24"/>
          <w:szCs w:val="24"/>
        </w:rPr>
        <w:t xml:space="preserve">n elektřiny bude </w:t>
      </w:r>
      <w:r w:rsidRPr="00E9234F">
        <w:rPr>
          <w:i/>
          <w:iCs/>
          <w:color w:val="000000" w:themeColor="text1"/>
          <w:sz w:val="24"/>
          <w:szCs w:val="24"/>
        </w:rPr>
        <w:t xml:space="preserve">detailně zaměřena na příjmy ze všech podpor a veškeré budoucí </w:t>
      </w:r>
      <w:r w:rsidR="00D96E0A">
        <w:rPr>
          <w:i/>
          <w:iCs/>
          <w:color w:val="000000" w:themeColor="text1"/>
          <w:sz w:val="24"/>
          <w:szCs w:val="24"/>
        </w:rPr>
        <w:t xml:space="preserve">výrobní </w:t>
      </w:r>
      <w:r w:rsidRPr="00E9234F">
        <w:rPr>
          <w:i/>
          <w:iCs/>
          <w:color w:val="000000" w:themeColor="text1"/>
          <w:sz w:val="24"/>
          <w:szCs w:val="24"/>
        </w:rPr>
        <w:t xml:space="preserve">náklady zahrnující </w:t>
      </w:r>
      <w:r w:rsidR="00D96E0A">
        <w:rPr>
          <w:i/>
          <w:iCs/>
          <w:color w:val="000000" w:themeColor="text1"/>
          <w:sz w:val="24"/>
          <w:szCs w:val="24"/>
        </w:rPr>
        <w:t>budoucí</w:t>
      </w:r>
      <w:r w:rsidR="00D96E0A" w:rsidRPr="00AF2482">
        <w:rPr>
          <w:i/>
          <w:iCs/>
          <w:color w:val="000000" w:themeColor="text1"/>
          <w:sz w:val="24"/>
          <w:szCs w:val="24"/>
        </w:rPr>
        <w:t xml:space="preserve"> provozní náklady </w:t>
      </w:r>
      <w:r w:rsidR="00D96E0A">
        <w:rPr>
          <w:i/>
          <w:iCs/>
          <w:color w:val="000000" w:themeColor="text1"/>
          <w:sz w:val="24"/>
          <w:szCs w:val="24"/>
        </w:rPr>
        <w:t>a budoucí investiční náklady k plánované obnově zařízení</w:t>
      </w:r>
      <w:r w:rsidR="00D96E0A" w:rsidRPr="00AF2482">
        <w:rPr>
          <w:i/>
          <w:iCs/>
          <w:color w:val="000000" w:themeColor="text1"/>
          <w:sz w:val="24"/>
          <w:szCs w:val="24"/>
        </w:rPr>
        <w:t xml:space="preserve"> odpovídají úrovni </w:t>
      </w:r>
      <w:r w:rsidR="00D96E0A">
        <w:rPr>
          <w:i/>
          <w:iCs/>
          <w:color w:val="000000" w:themeColor="text1"/>
          <w:sz w:val="24"/>
          <w:szCs w:val="24"/>
        </w:rPr>
        <w:t xml:space="preserve">těchto nákladů </w:t>
      </w:r>
      <w:r w:rsidR="00D96E0A" w:rsidRPr="00AF2482">
        <w:rPr>
          <w:i/>
          <w:iCs/>
          <w:color w:val="000000" w:themeColor="text1"/>
          <w:sz w:val="24"/>
          <w:szCs w:val="24"/>
        </w:rPr>
        <w:t>uvažované v modelu při stanovování podpory</w:t>
      </w:r>
      <w:r w:rsidRPr="00E9234F">
        <w:rPr>
          <w:i/>
          <w:iCs/>
          <w:color w:val="000000" w:themeColor="text1"/>
          <w:sz w:val="24"/>
          <w:szCs w:val="24"/>
        </w:rPr>
        <w:t>.</w:t>
      </w:r>
    </w:p>
    <w:p w14:paraId="792B094F" w14:textId="77777777" w:rsidR="00C07DEA" w:rsidRDefault="00C07DEA" w:rsidP="004713EF">
      <w:pPr>
        <w:pStyle w:val="Odstavecseseznamem"/>
        <w:overflowPunct/>
        <w:autoSpaceDE/>
        <w:autoSpaceDN/>
        <w:adjustRightInd/>
        <w:spacing w:before="100" w:beforeAutospacing="1" w:after="100" w:afterAutospacing="1" w:line="276" w:lineRule="auto"/>
        <w:ind w:left="284" w:hanging="284"/>
        <w:contextualSpacing w:val="0"/>
        <w:jc w:val="both"/>
        <w:textAlignment w:val="auto"/>
        <w:rPr>
          <w:iCs/>
          <w:color w:val="000000" w:themeColor="text1"/>
        </w:rPr>
      </w:pPr>
    </w:p>
    <w:p w14:paraId="1FE48ED5" w14:textId="5D2E2E16" w:rsidR="00571302" w:rsidRPr="004B694D" w:rsidRDefault="00C07DEA" w:rsidP="004713EF">
      <w:pPr>
        <w:pStyle w:val="Odstavecseseznamem"/>
        <w:overflowPunct/>
        <w:autoSpaceDE/>
        <w:autoSpaceDN/>
        <w:adjustRightInd/>
        <w:spacing w:before="100" w:beforeAutospacing="1" w:after="100" w:afterAutospacing="1" w:line="276" w:lineRule="auto"/>
        <w:ind w:left="284" w:hanging="284"/>
        <w:contextualSpacing w:val="0"/>
        <w:jc w:val="both"/>
        <w:textAlignment w:val="auto"/>
        <w:rPr>
          <w:iCs/>
          <w:color w:val="000000" w:themeColor="text1"/>
          <w:sz w:val="24"/>
          <w:szCs w:val="24"/>
        </w:rPr>
      </w:pPr>
      <w:r>
        <w:rPr>
          <w:iCs/>
          <w:color w:val="000000" w:themeColor="text1"/>
          <w:sz w:val="24"/>
          <w:szCs w:val="24"/>
        </w:rPr>
        <w:t>j</w:t>
      </w:r>
      <w:r w:rsidR="00F43B39">
        <w:rPr>
          <w:iCs/>
          <w:color w:val="000000" w:themeColor="text1"/>
          <w:sz w:val="24"/>
          <w:szCs w:val="24"/>
        </w:rPr>
        <w:t xml:space="preserve">) </w:t>
      </w:r>
      <w:r w:rsidR="004B694D">
        <w:rPr>
          <w:iCs/>
          <w:color w:val="000000" w:themeColor="text1"/>
          <w:sz w:val="24"/>
          <w:szCs w:val="24"/>
        </w:rPr>
        <w:t xml:space="preserve">Pokud se v rámci zjednodušené kontroly podle bodu </w:t>
      </w:r>
      <w:r w:rsidR="00511833">
        <w:rPr>
          <w:iCs/>
          <w:color w:val="000000" w:themeColor="text1"/>
          <w:sz w:val="24"/>
          <w:szCs w:val="24"/>
        </w:rPr>
        <w:t>i</w:t>
      </w:r>
      <w:r w:rsidR="00A7320B">
        <w:rPr>
          <w:iCs/>
          <w:color w:val="000000" w:themeColor="text1"/>
          <w:sz w:val="24"/>
          <w:szCs w:val="24"/>
        </w:rPr>
        <w:t xml:space="preserve">) </w:t>
      </w:r>
      <w:r w:rsidR="004B694D">
        <w:rPr>
          <w:iCs/>
          <w:color w:val="000000" w:themeColor="text1"/>
          <w:sz w:val="24"/>
          <w:szCs w:val="24"/>
        </w:rPr>
        <w:t xml:space="preserve">neprokáže </w:t>
      </w:r>
      <w:r w:rsidR="00A7320B">
        <w:rPr>
          <w:sz w:val="24"/>
          <w:szCs w:val="24"/>
        </w:rPr>
        <w:t xml:space="preserve">předpoklad hodnoty IRR při kumulaci </w:t>
      </w:r>
      <w:r w:rsidR="00B355E6">
        <w:rPr>
          <w:sz w:val="24"/>
          <w:szCs w:val="24"/>
        </w:rPr>
        <w:t xml:space="preserve">několika </w:t>
      </w:r>
      <w:r w:rsidR="00A7320B">
        <w:rPr>
          <w:sz w:val="24"/>
          <w:szCs w:val="24"/>
        </w:rPr>
        <w:t xml:space="preserve">druhů podpor, </w:t>
      </w:r>
      <w:r w:rsidR="004B694D">
        <w:rPr>
          <w:sz w:val="24"/>
          <w:szCs w:val="24"/>
        </w:rPr>
        <w:t xml:space="preserve">pak je možné </w:t>
      </w:r>
      <w:r w:rsidR="00A7320B">
        <w:rPr>
          <w:sz w:val="24"/>
          <w:szCs w:val="24"/>
        </w:rPr>
        <w:t xml:space="preserve">zvolit </w:t>
      </w:r>
      <w:r w:rsidR="004B694D">
        <w:rPr>
          <w:sz w:val="24"/>
          <w:szCs w:val="24"/>
        </w:rPr>
        <w:t>dvě varianty řešení</w:t>
      </w:r>
      <w:r w:rsidR="00D96E0A">
        <w:rPr>
          <w:sz w:val="24"/>
          <w:szCs w:val="24"/>
        </w:rPr>
        <w:t xml:space="preserve"> individuálního mechanismu kontroly přiměřenosti podpory</w:t>
      </w:r>
      <w:r w:rsidR="004B694D">
        <w:rPr>
          <w:sz w:val="24"/>
          <w:szCs w:val="24"/>
        </w:rPr>
        <w:t>:</w:t>
      </w:r>
    </w:p>
    <w:p w14:paraId="1E4855FA" w14:textId="7F74C4BE" w:rsidR="004B694D" w:rsidRDefault="004B694D" w:rsidP="004713EF">
      <w:pPr>
        <w:pStyle w:val="Odstavecseseznamem"/>
        <w:tabs>
          <w:tab w:val="left" w:pos="709"/>
        </w:tabs>
        <w:overflowPunct/>
        <w:autoSpaceDE/>
        <w:autoSpaceDN/>
        <w:adjustRightInd/>
        <w:spacing w:before="100" w:beforeAutospacing="1" w:after="100" w:afterAutospacing="1" w:line="276" w:lineRule="auto"/>
        <w:ind w:left="709"/>
        <w:contextualSpacing w:val="0"/>
        <w:jc w:val="both"/>
        <w:textAlignment w:val="auto"/>
        <w:rPr>
          <w:sz w:val="24"/>
          <w:szCs w:val="24"/>
        </w:rPr>
      </w:pPr>
      <w:r>
        <w:rPr>
          <w:sz w:val="24"/>
          <w:szCs w:val="24"/>
        </w:rPr>
        <w:t xml:space="preserve">1.  </w:t>
      </w:r>
      <w:r w:rsidRPr="004B694D">
        <w:rPr>
          <w:i/>
          <w:sz w:val="24"/>
          <w:szCs w:val="24"/>
        </w:rPr>
        <w:t>provedení podrobné kontroly u každé výrobny elektřiny v</w:t>
      </w:r>
      <w:r w:rsidR="00A7320B">
        <w:rPr>
          <w:i/>
          <w:sz w:val="24"/>
          <w:szCs w:val="24"/>
        </w:rPr>
        <w:t xml:space="preserve"> daném </w:t>
      </w:r>
      <w:r w:rsidRPr="004B694D">
        <w:rPr>
          <w:i/>
          <w:sz w:val="24"/>
          <w:szCs w:val="24"/>
        </w:rPr>
        <w:t>segmentu</w:t>
      </w:r>
      <w:r w:rsidR="00A7320B">
        <w:rPr>
          <w:i/>
          <w:sz w:val="24"/>
          <w:szCs w:val="24"/>
        </w:rPr>
        <w:t xml:space="preserve"> </w:t>
      </w:r>
      <w:r w:rsidR="00511833">
        <w:rPr>
          <w:i/>
          <w:sz w:val="24"/>
          <w:szCs w:val="24"/>
        </w:rPr>
        <w:t xml:space="preserve">OZE </w:t>
      </w:r>
      <w:r w:rsidR="00A7320B">
        <w:rPr>
          <w:i/>
          <w:sz w:val="24"/>
          <w:szCs w:val="24"/>
        </w:rPr>
        <w:t>ze strany výrobce elektřiny</w:t>
      </w:r>
      <w:r>
        <w:rPr>
          <w:sz w:val="24"/>
          <w:szCs w:val="24"/>
        </w:rPr>
        <w:t xml:space="preserve"> (například provedení podrobné kontroly u výroben elektřiny, které čerpají provozní podporu elektřiny z OZE a investiční podporu)</w:t>
      </w:r>
    </w:p>
    <w:p w14:paraId="58170E11" w14:textId="46C3C30D" w:rsidR="00604031" w:rsidRDefault="00604031" w:rsidP="000B4301">
      <w:pPr>
        <w:pStyle w:val="Odstavecseseznamem"/>
        <w:numPr>
          <w:ilvl w:val="0"/>
          <w:numId w:val="15"/>
        </w:numPr>
        <w:spacing w:before="100" w:beforeAutospacing="1" w:after="100" w:afterAutospacing="1" w:line="276" w:lineRule="auto"/>
        <w:jc w:val="both"/>
        <w:rPr>
          <w:iCs/>
          <w:color w:val="000000" w:themeColor="text1"/>
          <w:sz w:val="24"/>
          <w:szCs w:val="24"/>
        </w:rPr>
      </w:pPr>
      <w:r w:rsidRPr="00604031">
        <w:rPr>
          <w:iCs/>
          <w:color w:val="000000" w:themeColor="text1"/>
          <w:sz w:val="24"/>
          <w:szCs w:val="24"/>
        </w:rPr>
        <w:t>Pokud příje</w:t>
      </w:r>
      <w:r w:rsidR="00B20172">
        <w:rPr>
          <w:iCs/>
          <w:color w:val="000000" w:themeColor="text1"/>
          <w:sz w:val="24"/>
          <w:szCs w:val="24"/>
        </w:rPr>
        <w:t>m</w:t>
      </w:r>
      <w:r w:rsidRPr="00604031">
        <w:rPr>
          <w:iCs/>
          <w:color w:val="000000" w:themeColor="text1"/>
          <w:sz w:val="24"/>
          <w:szCs w:val="24"/>
        </w:rPr>
        <w:t xml:space="preserve">ce </w:t>
      </w:r>
      <w:r w:rsidR="00511833">
        <w:rPr>
          <w:iCs/>
          <w:color w:val="000000" w:themeColor="text1"/>
          <w:sz w:val="24"/>
          <w:szCs w:val="24"/>
        </w:rPr>
        <w:t>podpory</w:t>
      </w:r>
      <w:r>
        <w:rPr>
          <w:iCs/>
          <w:color w:val="000000" w:themeColor="text1"/>
          <w:sz w:val="24"/>
          <w:szCs w:val="24"/>
        </w:rPr>
        <w:t xml:space="preserve"> </w:t>
      </w:r>
      <w:r w:rsidRPr="00604031">
        <w:rPr>
          <w:iCs/>
          <w:color w:val="000000" w:themeColor="text1"/>
          <w:sz w:val="24"/>
          <w:szCs w:val="24"/>
        </w:rPr>
        <w:t xml:space="preserve">zvolí </w:t>
      </w:r>
      <w:r w:rsidR="00B20172">
        <w:rPr>
          <w:iCs/>
          <w:color w:val="000000" w:themeColor="text1"/>
          <w:sz w:val="24"/>
          <w:szCs w:val="24"/>
        </w:rPr>
        <w:t xml:space="preserve">provedení </w:t>
      </w:r>
      <w:r>
        <w:rPr>
          <w:iCs/>
          <w:color w:val="000000" w:themeColor="text1"/>
          <w:sz w:val="24"/>
          <w:szCs w:val="24"/>
        </w:rPr>
        <w:t xml:space="preserve">podrobné kontroly </w:t>
      </w:r>
      <w:r w:rsidRPr="00604031">
        <w:rPr>
          <w:iCs/>
          <w:color w:val="000000" w:themeColor="text1"/>
          <w:sz w:val="24"/>
          <w:szCs w:val="24"/>
        </w:rPr>
        <w:t>a ta by zjistila nepřiměřenou podporu, bud</w:t>
      </w:r>
      <w:r w:rsidR="00A7320B">
        <w:rPr>
          <w:iCs/>
          <w:color w:val="000000" w:themeColor="text1"/>
          <w:sz w:val="24"/>
          <w:szCs w:val="24"/>
        </w:rPr>
        <w:t>ou</w:t>
      </w:r>
      <w:r w:rsidRPr="00604031">
        <w:rPr>
          <w:iCs/>
          <w:color w:val="000000" w:themeColor="text1"/>
          <w:sz w:val="24"/>
          <w:szCs w:val="24"/>
        </w:rPr>
        <w:t xml:space="preserve"> zaveden</w:t>
      </w:r>
      <w:r w:rsidR="00A7320B">
        <w:rPr>
          <w:iCs/>
          <w:color w:val="000000" w:themeColor="text1"/>
          <w:sz w:val="24"/>
          <w:szCs w:val="24"/>
        </w:rPr>
        <w:t>a</w:t>
      </w:r>
      <w:r w:rsidRPr="00604031">
        <w:rPr>
          <w:iCs/>
          <w:color w:val="000000" w:themeColor="text1"/>
          <w:sz w:val="24"/>
          <w:szCs w:val="24"/>
        </w:rPr>
        <w:t xml:space="preserve"> konkrétní opatření k jejímu odčerpání</w:t>
      </w:r>
      <w:r>
        <w:rPr>
          <w:iCs/>
          <w:color w:val="000000" w:themeColor="text1"/>
          <w:sz w:val="24"/>
          <w:szCs w:val="24"/>
        </w:rPr>
        <w:t xml:space="preserve"> – dále viz. opatření u </w:t>
      </w:r>
      <w:r w:rsidR="009E0D89">
        <w:rPr>
          <w:iCs/>
          <w:color w:val="000000" w:themeColor="text1"/>
          <w:sz w:val="24"/>
          <w:szCs w:val="24"/>
        </w:rPr>
        <w:t xml:space="preserve">níže uvedeného </w:t>
      </w:r>
      <w:r>
        <w:rPr>
          <w:iCs/>
          <w:color w:val="000000" w:themeColor="text1"/>
          <w:sz w:val="24"/>
          <w:szCs w:val="24"/>
        </w:rPr>
        <w:t>bodu 2</w:t>
      </w:r>
      <w:r w:rsidRPr="00604031">
        <w:rPr>
          <w:iCs/>
          <w:color w:val="000000" w:themeColor="text1"/>
          <w:sz w:val="24"/>
          <w:szCs w:val="24"/>
        </w:rPr>
        <w:t>.</w:t>
      </w:r>
    </w:p>
    <w:p w14:paraId="070D0059" w14:textId="77777777" w:rsidR="00C16217" w:rsidRPr="00604031" w:rsidRDefault="00C16217" w:rsidP="00C16217">
      <w:pPr>
        <w:pStyle w:val="Odstavecseseznamem"/>
        <w:spacing w:before="100" w:beforeAutospacing="1" w:after="100" w:afterAutospacing="1" w:line="276" w:lineRule="auto"/>
        <w:ind w:left="1429"/>
        <w:jc w:val="both"/>
        <w:rPr>
          <w:iCs/>
          <w:color w:val="000000" w:themeColor="text1"/>
          <w:sz w:val="24"/>
          <w:szCs w:val="24"/>
        </w:rPr>
      </w:pPr>
    </w:p>
    <w:p w14:paraId="5D24D580" w14:textId="47F1FF64" w:rsidR="00604031" w:rsidRPr="00604031" w:rsidRDefault="004B694D" w:rsidP="004713EF">
      <w:pPr>
        <w:pStyle w:val="Odstavecseseznamem"/>
        <w:tabs>
          <w:tab w:val="left" w:pos="709"/>
        </w:tabs>
        <w:overflowPunct/>
        <w:autoSpaceDE/>
        <w:autoSpaceDN/>
        <w:adjustRightInd/>
        <w:spacing w:before="100" w:beforeAutospacing="1" w:after="100" w:afterAutospacing="1" w:line="276" w:lineRule="auto"/>
        <w:ind w:left="709"/>
        <w:contextualSpacing w:val="0"/>
        <w:jc w:val="both"/>
        <w:textAlignment w:val="auto"/>
        <w:rPr>
          <w:i/>
          <w:sz w:val="24"/>
          <w:szCs w:val="24"/>
        </w:rPr>
      </w:pPr>
      <w:r>
        <w:rPr>
          <w:sz w:val="24"/>
          <w:szCs w:val="24"/>
        </w:rPr>
        <w:t xml:space="preserve">2. </w:t>
      </w:r>
      <w:r w:rsidRPr="00604031">
        <w:rPr>
          <w:i/>
          <w:sz w:val="24"/>
          <w:szCs w:val="24"/>
        </w:rPr>
        <w:t xml:space="preserve">dobrovolné přistoupení </w:t>
      </w:r>
      <w:r w:rsidR="00A7320B">
        <w:rPr>
          <w:i/>
          <w:sz w:val="24"/>
          <w:szCs w:val="24"/>
        </w:rPr>
        <w:t xml:space="preserve">k „plošné“ aplikaci </w:t>
      </w:r>
      <w:r w:rsidR="00B355E6">
        <w:rPr>
          <w:i/>
          <w:sz w:val="24"/>
          <w:szCs w:val="24"/>
        </w:rPr>
        <w:t xml:space="preserve">konkrétních </w:t>
      </w:r>
      <w:r w:rsidR="00A7320B">
        <w:rPr>
          <w:i/>
          <w:sz w:val="24"/>
          <w:szCs w:val="24"/>
        </w:rPr>
        <w:t>opatření u výrobce</w:t>
      </w:r>
      <w:r w:rsidR="00511833">
        <w:rPr>
          <w:i/>
          <w:sz w:val="24"/>
          <w:szCs w:val="24"/>
        </w:rPr>
        <w:t xml:space="preserve"> elektřiny</w:t>
      </w:r>
      <w:r w:rsidR="00A7320B">
        <w:rPr>
          <w:i/>
          <w:sz w:val="24"/>
          <w:szCs w:val="24"/>
        </w:rPr>
        <w:t xml:space="preserve"> (resp. </w:t>
      </w:r>
      <w:r w:rsidR="00511833">
        <w:rPr>
          <w:i/>
          <w:sz w:val="24"/>
          <w:szCs w:val="24"/>
        </w:rPr>
        <w:t xml:space="preserve">u </w:t>
      </w:r>
      <w:r w:rsidR="00A7320B">
        <w:rPr>
          <w:i/>
          <w:sz w:val="24"/>
          <w:szCs w:val="24"/>
        </w:rPr>
        <w:t xml:space="preserve">všech </w:t>
      </w:r>
      <w:r w:rsidR="00511833">
        <w:rPr>
          <w:i/>
          <w:sz w:val="24"/>
          <w:szCs w:val="24"/>
        </w:rPr>
        <w:t xml:space="preserve">výrobců </w:t>
      </w:r>
      <w:r w:rsidR="00A7320B">
        <w:rPr>
          <w:i/>
          <w:sz w:val="24"/>
          <w:szCs w:val="24"/>
        </w:rPr>
        <w:t>elektřiny v </w:t>
      </w:r>
      <w:r w:rsidR="00511833">
        <w:rPr>
          <w:i/>
          <w:sz w:val="24"/>
          <w:szCs w:val="24"/>
        </w:rPr>
        <w:t xml:space="preserve">dotčeném </w:t>
      </w:r>
      <w:r w:rsidR="00A7320B">
        <w:rPr>
          <w:i/>
          <w:sz w:val="24"/>
          <w:szCs w:val="24"/>
        </w:rPr>
        <w:t xml:space="preserve">segmentu) </w:t>
      </w:r>
      <w:r w:rsidR="000675E2">
        <w:rPr>
          <w:i/>
          <w:sz w:val="24"/>
          <w:szCs w:val="24"/>
        </w:rPr>
        <w:t xml:space="preserve">bez </w:t>
      </w:r>
      <w:r w:rsidR="00A7320B">
        <w:rPr>
          <w:i/>
          <w:sz w:val="24"/>
          <w:szCs w:val="24"/>
        </w:rPr>
        <w:t xml:space="preserve">provedení </w:t>
      </w:r>
      <w:r w:rsidR="000675E2">
        <w:rPr>
          <w:i/>
          <w:sz w:val="24"/>
          <w:szCs w:val="24"/>
        </w:rPr>
        <w:t xml:space="preserve">podrobné individuální kontroly konkrétního zdroje </w:t>
      </w:r>
      <w:r w:rsidR="00A7320B">
        <w:rPr>
          <w:i/>
          <w:sz w:val="24"/>
          <w:szCs w:val="24"/>
        </w:rPr>
        <w:t>u výrobce elektřiny</w:t>
      </w:r>
      <w:r w:rsidR="00511833">
        <w:rPr>
          <w:i/>
          <w:sz w:val="24"/>
          <w:szCs w:val="24"/>
        </w:rPr>
        <w:t>.</w:t>
      </w:r>
      <w:r w:rsidR="00A7320B">
        <w:rPr>
          <w:i/>
          <w:sz w:val="24"/>
          <w:szCs w:val="24"/>
        </w:rPr>
        <w:t xml:space="preserve"> </w:t>
      </w:r>
      <w:r w:rsidR="00511833">
        <w:rPr>
          <w:i/>
          <w:sz w:val="24"/>
          <w:szCs w:val="24"/>
        </w:rPr>
        <w:t xml:space="preserve">Opatřením může </w:t>
      </w:r>
      <w:r w:rsidR="000675E2">
        <w:rPr>
          <w:i/>
          <w:sz w:val="24"/>
          <w:szCs w:val="24"/>
        </w:rPr>
        <w:t xml:space="preserve">být zastavení vyplácení jiné provozní podpory do budoucna, </w:t>
      </w:r>
      <w:r w:rsidRPr="00604031">
        <w:rPr>
          <w:i/>
          <w:sz w:val="24"/>
          <w:szCs w:val="24"/>
        </w:rPr>
        <w:t xml:space="preserve">odečtení jiné provozní podpory nebo investiční podpory </w:t>
      </w:r>
      <w:r w:rsidR="000675E2">
        <w:rPr>
          <w:i/>
          <w:sz w:val="24"/>
          <w:szCs w:val="24"/>
        </w:rPr>
        <w:t xml:space="preserve">snížením výše podpory elektřiny z OZE na zbývající období anebo aplikace jiného </w:t>
      </w:r>
      <w:r w:rsidR="000675E2" w:rsidRPr="00604031">
        <w:rPr>
          <w:i/>
          <w:sz w:val="24"/>
          <w:szCs w:val="24"/>
        </w:rPr>
        <w:t>vhodn</w:t>
      </w:r>
      <w:r w:rsidR="000675E2">
        <w:rPr>
          <w:i/>
          <w:sz w:val="24"/>
          <w:szCs w:val="24"/>
        </w:rPr>
        <w:t>ého</w:t>
      </w:r>
      <w:r w:rsidR="000675E2" w:rsidRPr="00604031">
        <w:rPr>
          <w:i/>
          <w:sz w:val="24"/>
          <w:szCs w:val="24"/>
        </w:rPr>
        <w:t xml:space="preserve"> </w:t>
      </w:r>
      <w:r w:rsidRPr="00604031">
        <w:rPr>
          <w:i/>
          <w:sz w:val="24"/>
          <w:szCs w:val="24"/>
        </w:rPr>
        <w:t>opatření</w:t>
      </w:r>
      <w:r w:rsidR="00604031" w:rsidRPr="00604031">
        <w:rPr>
          <w:i/>
          <w:sz w:val="24"/>
          <w:szCs w:val="24"/>
        </w:rPr>
        <w:t xml:space="preserve">. </w:t>
      </w:r>
    </w:p>
    <w:p w14:paraId="691F6B96" w14:textId="240A6C4C" w:rsidR="004B694D" w:rsidRPr="00604031" w:rsidRDefault="00604031" w:rsidP="000B4301">
      <w:pPr>
        <w:pStyle w:val="Odstavecseseznamem"/>
        <w:numPr>
          <w:ilvl w:val="0"/>
          <w:numId w:val="14"/>
        </w:numPr>
        <w:tabs>
          <w:tab w:val="left" w:pos="709"/>
        </w:tabs>
        <w:overflowPunct/>
        <w:autoSpaceDE/>
        <w:autoSpaceDN/>
        <w:adjustRightInd/>
        <w:spacing w:before="100" w:beforeAutospacing="1" w:after="100" w:afterAutospacing="1" w:line="276" w:lineRule="auto"/>
        <w:contextualSpacing w:val="0"/>
        <w:jc w:val="both"/>
        <w:textAlignment w:val="auto"/>
        <w:rPr>
          <w:iCs/>
          <w:color w:val="000000" w:themeColor="text1"/>
          <w:sz w:val="24"/>
          <w:szCs w:val="24"/>
        </w:rPr>
      </w:pPr>
      <w:r>
        <w:rPr>
          <w:sz w:val="24"/>
          <w:szCs w:val="24"/>
        </w:rPr>
        <w:t xml:space="preserve">U jiných provozních podpor </w:t>
      </w:r>
      <w:r w:rsidR="00511833">
        <w:rPr>
          <w:sz w:val="24"/>
          <w:szCs w:val="24"/>
        </w:rPr>
        <w:t xml:space="preserve">mohou </w:t>
      </w:r>
      <w:r>
        <w:rPr>
          <w:sz w:val="24"/>
          <w:szCs w:val="24"/>
        </w:rPr>
        <w:t xml:space="preserve">být </w:t>
      </w:r>
      <w:r w:rsidR="00511833">
        <w:rPr>
          <w:sz w:val="24"/>
          <w:szCs w:val="24"/>
        </w:rPr>
        <w:t>vráceny tyto</w:t>
      </w:r>
      <w:r>
        <w:rPr>
          <w:sz w:val="24"/>
          <w:szCs w:val="24"/>
        </w:rPr>
        <w:t xml:space="preserve"> podpor</w:t>
      </w:r>
      <w:r w:rsidR="00511833">
        <w:rPr>
          <w:sz w:val="24"/>
          <w:szCs w:val="24"/>
        </w:rPr>
        <w:t>y</w:t>
      </w:r>
      <w:r>
        <w:rPr>
          <w:sz w:val="24"/>
          <w:szCs w:val="24"/>
        </w:rPr>
        <w:t xml:space="preserve"> </w:t>
      </w:r>
      <w:r w:rsidR="00511833">
        <w:rPr>
          <w:sz w:val="24"/>
          <w:szCs w:val="24"/>
        </w:rPr>
        <w:t xml:space="preserve">- </w:t>
      </w:r>
      <w:r>
        <w:rPr>
          <w:sz w:val="24"/>
          <w:szCs w:val="24"/>
        </w:rPr>
        <w:t xml:space="preserve">například </w:t>
      </w:r>
      <w:r w:rsidR="00511833">
        <w:rPr>
          <w:sz w:val="24"/>
          <w:szCs w:val="24"/>
        </w:rPr>
        <w:t>analogie s principem</w:t>
      </w:r>
      <w:r w:rsidR="00A7320B">
        <w:rPr>
          <w:sz w:val="24"/>
          <w:szCs w:val="24"/>
        </w:rPr>
        <w:t xml:space="preserve"> </w:t>
      </w:r>
      <w:r>
        <w:rPr>
          <w:sz w:val="24"/>
          <w:szCs w:val="24"/>
        </w:rPr>
        <w:t>tzv. „solárního“ odvodu</w:t>
      </w:r>
    </w:p>
    <w:p w14:paraId="756F3C65" w14:textId="51AC5985" w:rsidR="00604031" w:rsidRPr="00A118DD" w:rsidRDefault="00604031" w:rsidP="000B4301">
      <w:pPr>
        <w:pStyle w:val="Odstavecseseznamem"/>
        <w:numPr>
          <w:ilvl w:val="0"/>
          <w:numId w:val="14"/>
        </w:numPr>
        <w:tabs>
          <w:tab w:val="left" w:pos="709"/>
        </w:tabs>
        <w:overflowPunct/>
        <w:autoSpaceDE/>
        <w:autoSpaceDN/>
        <w:adjustRightInd/>
        <w:spacing w:before="100" w:beforeAutospacing="1" w:after="100" w:afterAutospacing="1" w:line="276" w:lineRule="auto"/>
        <w:contextualSpacing w:val="0"/>
        <w:jc w:val="both"/>
        <w:textAlignment w:val="auto"/>
        <w:rPr>
          <w:iCs/>
          <w:color w:val="000000" w:themeColor="text1"/>
          <w:sz w:val="24"/>
          <w:szCs w:val="24"/>
        </w:rPr>
      </w:pPr>
      <w:r>
        <w:rPr>
          <w:sz w:val="24"/>
          <w:szCs w:val="24"/>
        </w:rPr>
        <w:t xml:space="preserve">U investiční podpory </w:t>
      </w:r>
      <w:r w:rsidR="00A7320B">
        <w:rPr>
          <w:sz w:val="24"/>
          <w:szCs w:val="24"/>
        </w:rPr>
        <w:t xml:space="preserve">může být </w:t>
      </w:r>
      <w:r w:rsidR="007836E9">
        <w:rPr>
          <w:sz w:val="24"/>
          <w:szCs w:val="24"/>
        </w:rPr>
        <w:t>provedeno</w:t>
      </w:r>
      <w:r w:rsidR="00A7320B">
        <w:rPr>
          <w:sz w:val="24"/>
          <w:szCs w:val="24"/>
        </w:rPr>
        <w:t xml:space="preserve"> vrácení této podpory </w:t>
      </w:r>
      <w:r w:rsidR="00511833">
        <w:rPr>
          <w:sz w:val="24"/>
          <w:szCs w:val="24"/>
        </w:rPr>
        <w:t xml:space="preserve">(přesahující rámec přiměřenosti) </w:t>
      </w:r>
      <w:r w:rsidR="00A7320B">
        <w:rPr>
          <w:sz w:val="24"/>
          <w:szCs w:val="24"/>
        </w:rPr>
        <w:t xml:space="preserve">například </w:t>
      </w:r>
      <w:r w:rsidR="00511833">
        <w:rPr>
          <w:sz w:val="24"/>
          <w:szCs w:val="24"/>
        </w:rPr>
        <w:t xml:space="preserve">principem </w:t>
      </w:r>
      <w:r>
        <w:rPr>
          <w:sz w:val="24"/>
          <w:szCs w:val="24"/>
        </w:rPr>
        <w:t xml:space="preserve">odečítacího vzorečku </w:t>
      </w:r>
      <w:r w:rsidR="000675E2">
        <w:rPr>
          <w:sz w:val="24"/>
          <w:szCs w:val="24"/>
        </w:rPr>
        <w:t>snižující výši podpory elektřiny z OZE na budoucí období</w:t>
      </w:r>
      <w:r w:rsidRPr="00A118DD">
        <w:rPr>
          <w:sz w:val="24"/>
          <w:szCs w:val="24"/>
        </w:rPr>
        <w:t>.</w:t>
      </w:r>
    </w:p>
    <w:p w14:paraId="2182814D" w14:textId="77777777" w:rsidR="00375CB8" w:rsidRDefault="00375CB8" w:rsidP="007D785A">
      <w:pPr>
        <w:overflowPunct/>
        <w:autoSpaceDE/>
        <w:autoSpaceDN/>
        <w:adjustRightInd/>
        <w:spacing w:line="293" w:lineRule="auto"/>
        <w:textAlignment w:val="auto"/>
        <w:rPr>
          <w:rFonts w:ascii="Calibri" w:eastAsia="Calibri" w:hAnsi="Calibri"/>
          <w:b/>
          <w:color w:val="000000"/>
          <w:szCs w:val="22"/>
          <w:u w:val="single"/>
          <w:lang w:eastAsia="en-US"/>
        </w:rPr>
      </w:pPr>
    </w:p>
    <w:p w14:paraId="26A73547" w14:textId="77777777" w:rsidR="00375CB8" w:rsidRDefault="00375CB8" w:rsidP="007D785A">
      <w:pPr>
        <w:overflowPunct/>
        <w:autoSpaceDE/>
        <w:autoSpaceDN/>
        <w:adjustRightInd/>
        <w:spacing w:line="293" w:lineRule="auto"/>
        <w:textAlignment w:val="auto"/>
        <w:rPr>
          <w:rFonts w:ascii="Calibri" w:eastAsia="Calibri" w:hAnsi="Calibri"/>
          <w:b/>
          <w:color w:val="000000"/>
          <w:szCs w:val="22"/>
          <w:u w:val="single"/>
          <w:lang w:eastAsia="en-US"/>
        </w:rPr>
      </w:pPr>
    </w:p>
    <w:p w14:paraId="23D21E77" w14:textId="77777777" w:rsidR="00803792" w:rsidRDefault="00803792" w:rsidP="007D785A">
      <w:pPr>
        <w:overflowPunct/>
        <w:autoSpaceDE/>
        <w:autoSpaceDN/>
        <w:adjustRightInd/>
        <w:spacing w:line="293" w:lineRule="auto"/>
        <w:textAlignment w:val="auto"/>
        <w:rPr>
          <w:rFonts w:ascii="Calibri" w:eastAsia="Calibri" w:hAnsi="Calibri"/>
          <w:b/>
          <w:color w:val="000000"/>
          <w:szCs w:val="22"/>
          <w:u w:val="single"/>
          <w:lang w:eastAsia="en-US"/>
        </w:rPr>
      </w:pPr>
    </w:p>
    <w:p w14:paraId="0709454C" w14:textId="77777777" w:rsidR="00A7320B" w:rsidRDefault="00A7320B" w:rsidP="007D785A">
      <w:pPr>
        <w:overflowPunct/>
        <w:autoSpaceDE/>
        <w:autoSpaceDN/>
        <w:adjustRightInd/>
        <w:spacing w:line="293" w:lineRule="auto"/>
        <w:textAlignment w:val="auto"/>
        <w:rPr>
          <w:rFonts w:ascii="Calibri" w:eastAsia="Calibri" w:hAnsi="Calibri"/>
          <w:b/>
          <w:color w:val="000000"/>
          <w:szCs w:val="22"/>
          <w:u w:val="single"/>
          <w:lang w:eastAsia="en-US"/>
        </w:rPr>
      </w:pPr>
    </w:p>
    <w:p w14:paraId="09B43880" w14:textId="77777777" w:rsidR="00A7320B" w:rsidRDefault="00A7320B" w:rsidP="007D785A">
      <w:pPr>
        <w:overflowPunct/>
        <w:autoSpaceDE/>
        <w:autoSpaceDN/>
        <w:adjustRightInd/>
        <w:spacing w:line="293" w:lineRule="auto"/>
        <w:textAlignment w:val="auto"/>
        <w:rPr>
          <w:rFonts w:ascii="Calibri" w:eastAsia="Calibri" w:hAnsi="Calibri"/>
          <w:b/>
          <w:color w:val="000000"/>
          <w:szCs w:val="22"/>
          <w:u w:val="single"/>
          <w:lang w:eastAsia="en-US"/>
        </w:rPr>
      </w:pPr>
    </w:p>
    <w:p w14:paraId="61E82957" w14:textId="77777777" w:rsidR="00A7320B" w:rsidRDefault="00A7320B" w:rsidP="007D785A">
      <w:pPr>
        <w:overflowPunct/>
        <w:autoSpaceDE/>
        <w:autoSpaceDN/>
        <w:adjustRightInd/>
        <w:spacing w:line="293" w:lineRule="auto"/>
        <w:textAlignment w:val="auto"/>
        <w:rPr>
          <w:rFonts w:ascii="Calibri" w:eastAsia="Calibri" w:hAnsi="Calibri"/>
          <w:b/>
          <w:color w:val="000000"/>
          <w:szCs w:val="22"/>
          <w:u w:val="single"/>
          <w:lang w:eastAsia="en-US"/>
        </w:rPr>
      </w:pPr>
    </w:p>
    <w:p w14:paraId="5BF3174F" w14:textId="77777777" w:rsidR="00511833" w:rsidRDefault="00511833" w:rsidP="007D785A">
      <w:pPr>
        <w:overflowPunct/>
        <w:autoSpaceDE/>
        <w:autoSpaceDN/>
        <w:adjustRightInd/>
        <w:spacing w:line="293" w:lineRule="auto"/>
        <w:textAlignment w:val="auto"/>
        <w:rPr>
          <w:rFonts w:ascii="Calibri" w:eastAsia="Calibri" w:hAnsi="Calibri"/>
          <w:b/>
          <w:color w:val="000000"/>
          <w:szCs w:val="22"/>
          <w:u w:val="single"/>
          <w:lang w:eastAsia="en-US"/>
        </w:rPr>
      </w:pPr>
    </w:p>
    <w:p w14:paraId="17D2234B" w14:textId="77777777" w:rsidR="00511833" w:rsidRDefault="00511833" w:rsidP="007D785A">
      <w:pPr>
        <w:overflowPunct/>
        <w:autoSpaceDE/>
        <w:autoSpaceDN/>
        <w:adjustRightInd/>
        <w:spacing w:line="293" w:lineRule="auto"/>
        <w:textAlignment w:val="auto"/>
        <w:rPr>
          <w:rFonts w:ascii="Calibri" w:eastAsia="Calibri" w:hAnsi="Calibri"/>
          <w:b/>
          <w:color w:val="000000"/>
          <w:szCs w:val="22"/>
          <w:u w:val="single"/>
          <w:lang w:eastAsia="en-US"/>
        </w:rPr>
      </w:pPr>
    </w:p>
    <w:p w14:paraId="07DD9DC9" w14:textId="77777777" w:rsidR="00622CCC" w:rsidRDefault="00622CCC" w:rsidP="007D785A">
      <w:pPr>
        <w:overflowPunct/>
        <w:autoSpaceDE/>
        <w:autoSpaceDN/>
        <w:adjustRightInd/>
        <w:spacing w:line="293" w:lineRule="auto"/>
        <w:textAlignment w:val="auto"/>
        <w:rPr>
          <w:rFonts w:ascii="Calibri" w:eastAsia="Calibri" w:hAnsi="Calibri"/>
          <w:b/>
          <w:color w:val="000000"/>
          <w:szCs w:val="22"/>
          <w:u w:val="single"/>
          <w:lang w:eastAsia="en-US"/>
        </w:rPr>
      </w:pPr>
    </w:p>
    <w:p w14:paraId="5BFADB32" w14:textId="77777777" w:rsidR="00622CCC" w:rsidRDefault="00622CCC" w:rsidP="007D785A">
      <w:pPr>
        <w:overflowPunct/>
        <w:autoSpaceDE/>
        <w:autoSpaceDN/>
        <w:adjustRightInd/>
        <w:spacing w:line="293" w:lineRule="auto"/>
        <w:textAlignment w:val="auto"/>
        <w:rPr>
          <w:rFonts w:ascii="Calibri" w:eastAsia="Calibri" w:hAnsi="Calibri"/>
          <w:b/>
          <w:color w:val="000000"/>
          <w:szCs w:val="22"/>
          <w:u w:val="single"/>
          <w:lang w:eastAsia="en-US"/>
        </w:rPr>
      </w:pPr>
    </w:p>
    <w:p w14:paraId="41B7E953" w14:textId="77777777" w:rsidR="00622CCC" w:rsidRDefault="00622CCC" w:rsidP="007D785A">
      <w:pPr>
        <w:overflowPunct/>
        <w:autoSpaceDE/>
        <w:autoSpaceDN/>
        <w:adjustRightInd/>
        <w:spacing w:line="293" w:lineRule="auto"/>
        <w:textAlignment w:val="auto"/>
        <w:rPr>
          <w:rFonts w:ascii="Calibri" w:eastAsia="Calibri" w:hAnsi="Calibri"/>
          <w:b/>
          <w:color w:val="000000"/>
          <w:szCs w:val="22"/>
          <w:u w:val="single"/>
          <w:lang w:eastAsia="en-US"/>
        </w:rPr>
      </w:pPr>
    </w:p>
    <w:p w14:paraId="477EFF07" w14:textId="77777777" w:rsidR="00622CCC" w:rsidRDefault="00622CCC" w:rsidP="007D785A">
      <w:pPr>
        <w:overflowPunct/>
        <w:autoSpaceDE/>
        <w:autoSpaceDN/>
        <w:adjustRightInd/>
        <w:spacing w:line="293" w:lineRule="auto"/>
        <w:textAlignment w:val="auto"/>
        <w:rPr>
          <w:rFonts w:ascii="Calibri" w:eastAsia="Calibri" w:hAnsi="Calibri"/>
          <w:b/>
          <w:color w:val="000000"/>
          <w:szCs w:val="22"/>
          <w:u w:val="single"/>
          <w:lang w:eastAsia="en-US"/>
        </w:rPr>
      </w:pPr>
    </w:p>
    <w:p w14:paraId="476CE5E7" w14:textId="3ACE0CFF" w:rsidR="007D785A" w:rsidRPr="007D785A" w:rsidRDefault="002D2E3F" w:rsidP="007D785A">
      <w:pPr>
        <w:overflowPunct/>
        <w:autoSpaceDE/>
        <w:autoSpaceDN/>
        <w:adjustRightInd/>
        <w:spacing w:line="293" w:lineRule="auto"/>
        <w:textAlignment w:val="auto"/>
        <w:rPr>
          <w:rFonts w:ascii="Calibri" w:eastAsia="Calibri" w:hAnsi="Calibri"/>
          <w:b/>
          <w:color w:val="000000"/>
          <w:szCs w:val="22"/>
          <w:u w:val="single"/>
          <w:lang w:eastAsia="en-US"/>
        </w:rPr>
      </w:pPr>
      <w:r>
        <w:rPr>
          <w:rFonts w:ascii="Calibri" w:eastAsia="Calibri" w:hAnsi="Calibri"/>
          <w:b/>
          <w:color w:val="000000"/>
          <w:szCs w:val="22"/>
          <w:u w:val="single"/>
          <w:lang w:eastAsia="en-US"/>
        </w:rPr>
        <w:t xml:space="preserve">Grafické vyjádření postupu provedení mechanismu </w:t>
      </w:r>
      <w:r w:rsidR="00777AA3">
        <w:rPr>
          <w:rFonts w:ascii="Calibri" w:eastAsia="Calibri" w:hAnsi="Calibri"/>
          <w:b/>
          <w:color w:val="000000"/>
          <w:szCs w:val="22"/>
          <w:u w:val="single"/>
          <w:lang w:eastAsia="en-US"/>
        </w:rPr>
        <w:t>kontroly přiměřenosti podpory I</w:t>
      </w:r>
      <w:r>
        <w:rPr>
          <w:rFonts w:ascii="Calibri" w:eastAsia="Calibri" w:hAnsi="Calibri"/>
          <w:b/>
          <w:color w:val="000000"/>
          <w:szCs w:val="22"/>
          <w:u w:val="single"/>
          <w:lang w:eastAsia="en-US"/>
        </w:rPr>
        <w:t>:</w:t>
      </w:r>
    </w:p>
    <w:p w14:paraId="37BCA875" w14:textId="0DD55E8B" w:rsidR="007D785A" w:rsidRPr="007D785A" w:rsidRDefault="003E0B13" w:rsidP="007D785A">
      <w:pPr>
        <w:overflowPunct/>
        <w:autoSpaceDE/>
        <w:autoSpaceDN/>
        <w:adjustRightInd/>
        <w:spacing w:line="293" w:lineRule="auto"/>
        <w:textAlignment w:val="auto"/>
        <w:rPr>
          <w:rFonts w:ascii="Calibri" w:eastAsia="Calibri" w:hAnsi="Calibri"/>
          <w:color w:val="000000"/>
          <w:szCs w:val="22"/>
          <w:lang w:eastAsia="en-US"/>
        </w:rPr>
      </w:pPr>
      <w:r>
        <w:rPr>
          <w:rFonts w:ascii="Calibri" w:eastAsia="Calibri" w:hAnsi="Calibri"/>
          <w:noProof/>
          <w:color w:val="000000"/>
          <w:szCs w:val="22"/>
        </w:rPr>
        <mc:AlternateContent>
          <mc:Choice Requires="wpg">
            <w:drawing>
              <wp:anchor distT="0" distB="0" distL="114300" distR="114300" simplePos="0" relativeHeight="251653632" behindDoc="0" locked="0" layoutInCell="1" allowOverlap="1" wp14:anchorId="23D492E8" wp14:editId="6526D25D">
                <wp:simplePos x="0" y="0"/>
                <wp:positionH relativeFrom="column">
                  <wp:posOffset>-21395</wp:posOffset>
                </wp:positionH>
                <wp:positionV relativeFrom="paragraph">
                  <wp:posOffset>172725</wp:posOffset>
                </wp:positionV>
                <wp:extent cx="6508750" cy="8509000"/>
                <wp:effectExtent l="0" t="0" r="25400" b="25400"/>
                <wp:wrapNone/>
                <wp:docPr id="5" name="Skupina 5"/>
                <wp:cNvGraphicFramePr/>
                <a:graphic xmlns:a="http://schemas.openxmlformats.org/drawingml/2006/main">
                  <a:graphicData uri="http://schemas.microsoft.com/office/word/2010/wordprocessingGroup">
                    <wpg:wgp>
                      <wpg:cNvGrpSpPr/>
                      <wpg:grpSpPr>
                        <a:xfrm>
                          <a:off x="0" y="0"/>
                          <a:ext cx="6508750" cy="8509000"/>
                          <a:chOff x="0" y="0"/>
                          <a:chExt cx="6509115" cy="8509145"/>
                        </a:xfrm>
                      </wpg:grpSpPr>
                      <wps:wsp>
                        <wps:cNvPr id="1" name="Zaoblený obdélník 1"/>
                        <wps:cNvSpPr/>
                        <wps:spPr>
                          <a:xfrm>
                            <a:off x="1638300" y="0"/>
                            <a:ext cx="2764790" cy="518160"/>
                          </a:xfrm>
                          <a:prstGeom prst="roundRect">
                            <a:avLst/>
                          </a:prstGeom>
                          <a:solidFill>
                            <a:schemeClr val="accent3"/>
                          </a:solidFill>
                          <a:ln w="12700" cap="flat" cmpd="sng" algn="ctr">
                            <a:solidFill>
                              <a:srgbClr val="B9E0F7">
                                <a:shade val="50000"/>
                              </a:srgbClr>
                            </a:solidFill>
                            <a:prstDash val="solid"/>
                            <a:miter lim="800000"/>
                          </a:ln>
                          <a:effectLst/>
                        </wps:spPr>
                        <wps:txbx>
                          <w:txbxContent>
                            <w:p w14:paraId="660AC957" w14:textId="77777777" w:rsidR="00034AD2" w:rsidRPr="001929F6" w:rsidRDefault="00034AD2" w:rsidP="00853FA9">
                              <w:pPr>
                                <w:spacing w:after="0" w:line="240" w:lineRule="auto"/>
                                <w:jc w:val="center"/>
                                <w:rPr>
                                  <w:b/>
                                </w:rPr>
                              </w:pPr>
                              <w:r w:rsidRPr="001929F6">
                                <w:rPr>
                                  <w:b/>
                                </w:rPr>
                                <w:t>Identifikace počtu všech registrovaných zdrojů OZE pobírající podporu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Zaoblený obdélník 74"/>
                        <wps:cNvSpPr/>
                        <wps:spPr>
                          <a:xfrm>
                            <a:off x="2076334" y="781037"/>
                            <a:ext cx="2065539" cy="589915"/>
                          </a:xfrm>
                          <a:prstGeom prst="roundRect">
                            <a:avLst/>
                          </a:prstGeom>
                          <a:gradFill rotWithShape="1">
                            <a:gsLst>
                              <a:gs pos="0">
                                <a:srgbClr val="E31B23">
                                  <a:lumMod val="110000"/>
                                  <a:satMod val="105000"/>
                                  <a:tint val="67000"/>
                                </a:srgbClr>
                              </a:gs>
                              <a:gs pos="50000">
                                <a:srgbClr val="E31B23">
                                  <a:lumMod val="105000"/>
                                  <a:satMod val="103000"/>
                                  <a:tint val="73000"/>
                                </a:srgbClr>
                              </a:gs>
                              <a:gs pos="100000">
                                <a:srgbClr val="E31B23">
                                  <a:lumMod val="105000"/>
                                  <a:satMod val="109000"/>
                                  <a:tint val="81000"/>
                                </a:srgbClr>
                              </a:gs>
                            </a:gsLst>
                            <a:lin ang="5400000" scaled="0"/>
                          </a:gradFill>
                          <a:ln w="6350" cap="flat" cmpd="sng" algn="ctr">
                            <a:solidFill>
                              <a:srgbClr val="E31B23"/>
                            </a:solidFill>
                            <a:prstDash val="solid"/>
                            <a:miter lim="800000"/>
                          </a:ln>
                          <a:effectLst/>
                        </wps:spPr>
                        <wps:txbx>
                          <w:txbxContent>
                            <w:p w14:paraId="54435D3B" w14:textId="21FF9888" w:rsidR="00034AD2" w:rsidRPr="00933D43" w:rsidRDefault="00034AD2" w:rsidP="00853FA9">
                              <w:pPr>
                                <w:spacing w:after="0" w:line="240" w:lineRule="auto"/>
                                <w:jc w:val="center"/>
                                <w:rPr>
                                  <w:sz w:val="20"/>
                                </w:rPr>
                              </w:pPr>
                              <w:r w:rsidRPr="00933D43">
                                <w:rPr>
                                  <w:sz w:val="20"/>
                                </w:rPr>
                                <w:t xml:space="preserve">Identifikace zdrojů  OZE spadajících do </w:t>
                              </w:r>
                              <w:r>
                                <w:rPr>
                                  <w:sz w:val="20"/>
                                </w:rPr>
                                <w:t>rozhodnutí</w:t>
                              </w:r>
                              <w:r w:rsidRPr="00933D43">
                                <w:rPr>
                                  <w:sz w:val="20"/>
                                </w:rPr>
                                <w:t xml:space="preserve"> SA. 40171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Zaoblený obdélník 3"/>
                        <wps:cNvSpPr/>
                        <wps:spPr>
                          <a:xfrm>
                            <a:off x="4267199" y="781050"/>
                            <a:ext cx="2126759" cy="589915"/>
                          </a:xfrm>
                          <a:prstGeom prst="roundRect">
                            <a:avLst/>
                          </a:prstGeom>
                          <a:gradFill rotWithShape="1">
                            <a:gsLst>
                              <a:gs pos="0">
                                <a:srgbClr val="E31B23">
                                  <a:lumMod val="110000"/>
                                  <a:satMod val="105000"/>
                                  <a:tint val="67000"/>
                                </a:srgbClr>
                              </a:gs>
                              <a:gs pos="50000">
                                <a:srgbClr val="E31B23">
                                  <a:lumMod val="105000"/>
                                  <a:satMod val="103000"/>
                                  <a:tint val="73000"/>
                                </a:srgbClr>
                              </a:gs>
                              <a:gs pos="100000">
                                <a:srgbClr val="E31B23">
                                  <a:lumMod val="105000"/>
                                  <a:satMod val="109000"/>
                                  <a:tint val="81000"/>
                                </a:srgbClr>
                              </a:gs>
                            </a:gsLst>
                            <a:lin ang="5400000" scaled="0"/>
                          </a:gradFill>
                          <a:ln w="6350" cap="flat" cmpd="sng" algn="ctr">
                            <a:solidFill>
                              <a:srgbClr val="E31B23"/>
                            </a:solidFill>
                            <a:prstDash val="solid"/>
                            <a:miter lim="800000"/>
                          </a:ln>
                          <a:effectLst/>
                        </wps:spPr>
                        <wps:txbx>
                          <w:txbxContent>
                            <w:p w14:paraId="535C0A32" w14:textId="70A8F736" w:rsidR="00034AD2" w:rsidRPr="00933D43" w:rsidRDefault="00034AD2" w:rsidP="00853FA9">
                              <w:pPr>
                                <w:spacing w:after="0" w:line="240" w:lineRule="auto"/>
                                <w:jc w:val="center"/>
                                <w:rPr>
                                  <w:sz w:val="20"/>
                                </w:rPr>
                              </w:pPr>
                              <w:r w:rsidRPr="00933D43">
                                <w:rPr>
                                  <w:sz w:val="20"/>
                                </w:rPr>
                                <w:t xml:space="preserve">Identifikace zdrojů  OZE spadajících do </w:t>
                              </w:r>
                              <w:r>
                                <w:rPr>
                                  <w:sz w:val="20"/>
                                </w:rPr>
                                <w:t>rozhodnutí</w:t>
                              </w:r>
                              <w:r w:rsidRPr="00933D43">
                                <w:rPr>
                                  <w:sz w:val="20"/>
                                </w:rPr>
                                <w:t xml:space="preserve"> SA. 35177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Zaoblený obdélník 73"/>
                        <wps:cNvSpPr/>
                        <wps:spPr>
                          <a:xfrm>
                            <a:off x="0" y="781050"/>
                            <a:ext cx="1979940" cy="770400"/>
                          </a:xfrm>
                          <a:prstGeom prst="roundRect">
                            <a:avLst/>
                          </a:prstGeom>
                          <a:gradFill rotWithShape="1">
                            <a:gsLst>
                              <a:gs pos="0">
                                <a:srgbClr val="E31B23">
                                  <a:lumMod val="110000"/>
                                  <a:satMod val="105000"/>
                                  <a:tint val="67000"/>
                                </a:srgbClr>
                              </a:gs>
                              <a:gs pos="50000">
                                <a:srgbClr val="E31B23">
                                  <a:lumMod val="105000"/>
                                  <a:satMod val="103000"/>
                                  <a:tint val="73000"/>
                                </a:srgbClr>
                              </a:gs>
                              <a:gs pos="100000">
                                <a:srgbClr val="E31B23">
                                  <a:lumMod val="105000"/>
                                  <a:satMod val="109000"/>
                                  <a:tint val="81000"/>
                                </a:srgbClr>
                              </a:gs>
                            </a:gsLst>
                            <a:lin ang="5400000" scaled="0"/>
                          </a:gradFill>
                          <a:ln w="6350" cap="flat" cmpd="sng" algn="ctr">
                            <a:solidFill>
                              <a:srgbClr val="E31B23"/>
                            </a:solidFill>
                            <a:prstDash val="solid"/>
                            <a:miter lim="800000"/>
                          </a:ln>
                          <a:effectLst/>
                        </wps:spPr>
                        <wps:txbx>
                          <w:txbxContent>
                            <w:p w14:paraId="5736AD88" w14:textId="32341516" w:rsidR="00034AD2" w:rsidRPr="00933D43" w:rsidRDefault="00034AD2" w:rsidP="00853FA9">
                              <w:pPr>
                                <w:spacing w:after="0" w:line="240" w:lineRule="auto"/>
                                <w:jc w:val="center"/>
                                <w:rPr>
                                  <w:sz w:val="20"/>
                                </w:rPr>
                              </w:pPr>
                              <w:r w:rsidRPr="00933D43">
                                <w:rPr>
                                  <w:sz w:val="20"/>
                                </w:rPr>
                                <w:t xml:space="preserve">Ostatní  zdroje  OZE nespadajících do </w:t>
                              </w:r>
                              <w:r>
                                <w:rPr>
                                  <w:sz w:val="20"/>
                                </w:rPr>
                                <w:t>rozhodnutí</w:t>
                              </w:r>
                              <w:r w:rsidRPr="00933D43">
                                <w:rPr>
                                  <w:sz w:val="20"/>
                                </w:rPr>
                                <w:t xml:space="preserve"> </w:t>
                              </w:r>
                            </w:p>
                            <w:p w14:paraId="67AC2F11" w14:textId="77777777" w:rsidR="00034AD2" w:rsidRPr="00933D43" w:rsidRDefault="00034AD2" w:rsidP="00853FA9">
                              <w:pPr>
                                <w:spacing w:after="0" w:line="240" w:lineRule="auto"/>
                                <w:jc w:val="center"/>
                                <w:rPr>
                                  <w:sz w:val="20"/>
                                </w:rPr>
                              </w:pPr>
                              <w:r w:rsidRPr="00933D43">
                                <w:rPr>
                                  <w:sz w:val="20"/>
                                </w:rPr>
                                <w:t xml:space="preserve">SA. 40171 a SA. 35177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Přímá spojnice se šipkou 70"/>
                        <wps:cNvCnPr/>
                        <wps:spPr>
                          <a:xfrm flipH="1">
                            <a:off x="923925" y="514350"/>
                            <a:ext cx="919480" cy="266065"/>
                          </a:xfrm>
                          <a:prstGeom prst="straightConnector1">
                            <a:avLst/>
                          </a:prstGeom>
                          <a:noFill/>
                          <a:ln w="6350" cap="flat" cmpd="sng" algn="ctr">
                            <a:solidFill>
                              <a:srgbClr val="E31B23"/>
                            </a:solidFill>
                            <a:prstDash val="solid"/>
                            <a:miter lim="800000"/>
                            <a:tailEnd type="triangle"/>
                          </a:ln>
                          <a:effectLst/>
                        </wps:spPr>
                        <wps:bodyPr/>
                      </wps:wsp>
                      <wps:wsp>
                        <wps:cNvPr id="66" name="Přímá spojnice se šipkou 66"/>
                        <wps:cNvCnPr/>
                        <wps:spPr>
                          <a:xfrm flipH="1">
                            <a:off x="2886075" y="514350"/>
                            <a:ext cx="57150" cy="266065"/>
                          </a:xfrm>
                          <a:prstGeom prst="straightConnector1">
                            <a:avLst/>
                          </a:prstGeom>
                          <a:noFill/>
                          <a:ln w="6350" cap="flat" cmpd="sng" algn="ctr">
                            <a:solidFill>
                              <a:srgbClr val="E31B23"/>
                            </a:solidFill>
                            <a:prstDash val="solid"/>
                            <a:miter lim="800000"/>
                            <a:tailEnd type="triangle"/>
                          </a:ln>
                          <a:effectLst/>
                        </wps:spPr>
                        <wps:bodyPr/>
                      </wps:wsp>
                      <wps:wsp>
                        <wps:cNvPr id="7" name="Přímá spojnice se šipkou 7"/>
                        <wps:cNvCnPr/>
                        <wps:spPr>
                          <a:xfrm>
                            <a:off x="4143375" y="514350"/>
                            <a:ext cx="1087200" cy="259200"/>
                          </a:xfrm>
                          <a:prstGeom prst="straightConnector1">
                            <a:avLst/>
                          </a:prstGeom>
                          <a:noFill/>
                          <a:ln w="6350" cap="flat" cmpd="sng" algn="ctr">
                            <a:solidFill>
                              <a:srgbClr val="E31B23"/>
                            </a:solidFill>
                            <a:prstDash val="solid"/>
                            <a:miter lim="800000"/>
                            <a:tailEnd type="triangle"/>
                          </a:ln>
                          <a:effectLst/>
                        </wps:spPr>
                        <wps:bodyPr/>
                      </wps:wsp>
                      <wps:wsp>
                        <wps:cNvPr id="8" name="Zaoblený obdélník 8"/>
                        <wps:cNvSpPr/>
                        <wps:spPr>
                          <a:xfrm>
                            <a:off x="142875" y="1790700"/>
                            <a:ext cx="1842770" cy="561340"/>
                          </a:xfrm>
                          <a:prstGeom prst="roundRect">
                            <a:avLst/>
                          </a:prstGeom>
                          <a:gradFill rotWithShape="1">
                            <a:gsLst>
                              <a:gs pos="0">
                                <a:srgbClr val="13B5EA">
                                  <a:lumMod val="110000"/>
                                  <a:satMod val="105000"/>
                                  <a:tint val="67000"/>
                                </a:srgbClr>
                              </a:gs>
                              <a:gs pos="50000">
                                <a:srgbClr val="13B5EA">
                                  <a:lumMod val="105000"/>
                                  <a:satMod val="103000"/>
                                  <a:tint val="73000"/>
                                </a:srgbClr>
                              </a:gs>
                              <a:gs pos="100000">
                                <a:srgbClr val="13B5EA">
                                  <a:lumMod val="105000"/>
                                  <a:satMod val="109000"/>
                                  <a:tint val="81000"/>
                                </a:srgbClr>
                              </a:gs>
                            </a:gsLst>
                            <a:lin ang="5400000" scaled="0"/>
                          </a:gradFill>
                          <a:ln w="6350" cap="flat" cmpd="sng" algn="ctr">
                            <a:solidFill>
                              <a:srgbClr val="13B5EA"/>
                            </a:solidFill>
                            <a:prstDash val="solid"/>
                            <a:miter lim="800000"/>
                          </a:ln>
                          <a:effectLst/>
                        </wps:spPr>
                        <wps:txbx>
                          <w:txbxContent>
                            <w:p w14:paraId="4EC858FC" w14:textId="77777777" w:rsidR="00034AD2" w:rsidRPr="00933D43" w:rsidRDefault="00034AD2" w:rsidP="00853FA9">
                              <w:pPr>
                                <w:spacing w:after="0" w:line="240" w:lineRule="auto"/>
                                <w:jc w:val="center"/>
                                <w:rPr>
                                  <w:sz w:val="20"/>
                                </w:rPr>
                              </w:pPr>
                              <w:r w:rsidRPr="00933D43">
                                <w:rPr>
                                  <w:sz w:val="20"/>
                                </w:rPr>
                                <w:t>Zdroje OZE nespadající do kontrolního mechanismu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Přímá spojnice se šipkou 75"/>
                        <wps:cNvCnPr/>
                        <wps:spPr>
                          <a:xfrm flipH="1">
                            <a:off x="971550" y="1552575"/>
                            <a:ext cx="45719" cy="258950"/>
                          </a:xfrm>
                          <a:prstGeom prst="straightConnector1">
                            <a:avLst/>
                          </a:prstGeom>
                          <a:noFill/>
                          <a:ln w="6350" cap="flat" cmpd="sng" algn="ctr">
                            <a:solidFill>
                              <a:srgbClr val="E31B23"/>
                            </a:solidFill>
                            <a:prstDash val="solid"/>
                            <a:miter lim="800000"/>
                            <a:tailEnd type="triangle"/>
                          </a:ln>
                          <a:effectLst/>
                        </wps:spPr>
                        <wps:bodyPr/>
                      </wps:wsp>
                      <wps:wsp>
                        <wps:cNvPr id="12" name="Zaoblený obdélník 12"/>
                        <wps:cNvSpPr/>
                        <wps:spPr>
                          <a:xfrm>
                            <a:off x="2257425" y="1781175"/>
                            <a:ext cx="1958340" cy="813435"/>
                          </a:xfrm>
                          <a:prstGeom prst="roundRect">
                            <a:avLst/>
                          </a:prstGeom>
                          <a:solidFill>
                            <a:srgbClr val="E31B23"/>
                          </a:solidFill>
                          <a:ln w="12700" cap="flat" cmpd="sng" algn="ctr">
                            <a:solidFill>
                              <a:srgbClr val="E31B23">
                                <a:shade val="50000"/>
                              </a:srgbClr>
                            </a:solidFill>
                            <a:prstDash val="solid"/>
                            <a:miter lim="800000"/>
                          </a:ln>
                          <a:effectLst/>
                        </wps:spPr>
                        <wps:txbx>
                          <w:txbxContent>
                            <w:p w14:paraId="2FAE2AB7" w14:textId="1D613246" w:rsidR="00034AD2" w:rsidRPr="00933D43" w:rsidRDefault="00034AD2" w:rsidP="00853FA9">
                              <w:pPr>
                                <w:spacing w:after="0" w:line="240" w:lineRule="auto"/>
                                <w:jc w:val="center"/>
                                <w:rPr>
                                  <w:sz w:val="20"/>
                                </w:rPr>
                              </w:pPr>
                              <w:r w:rsidRPr="00933D43">
                                <w:rPr>
                                  <w:sz w:val="20"/>
                                </w:rPr>
                                <w:t>Zdroje OZE s podporou nad de minim (podpora elektřiny z OZE nebo kumulace</w:t>
                              </w:r>
                              <w:r>
                                <w:rPr>
                                  <w:sz w:val="20"/>
                                </w:rPr>
                                <w:t xml:space="preserve"> podpor</w:t>
                              </w:r>
                              <w:r w:rsidRPr="00933D43">
                                <w:rPr>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Zaoblený obdélník 13"/>
                        <wps:cNvSpPr/>
                        <wps:spPr>
                          <a:xfrm>
                            <a:off x="4352925" y="1800225"/>
                            <a:ext cx="1958340" cy="813435"/>
                          </a:xfrm>
                          <a:prstGeom prst="roundRect">
                            <a:avLst/>
                          </a:prstGeom>
                          <a:solidFill>
                            <a:srgbClr val="E31B23"/>
                          </a:solidFill>
                          <a:ln w="12700" cap="flat" cmpd="sng" algn="ctr">
                            <a:solidFill>
                              <a:srgbClr val="E31B23">
                                <a:shade val="50000"/>
                              </a:srgbClr>
                            </a:solidFill>
                            <a:prstDash val="solid"/>
                            <a:miter lim="800000"/>
                          </a:ln>
                          <a:effectLst/>
                        </wps:spPr>
                        <wps:txbx>
                          <w:txbxContent>
                            <w:p w14:paraId="39FA379F" w14:textId="34D25DE7" w:rsidR="00034AD2" w:rsidRDefault="00034AD2" w:rsidP="00853FA9">
                              <w:pPr>
                                <w:spacing w:after="0" w:line="240" w:lineRule="auto"/>
                                <w:jc w:val="center"/>
                              </w:pPr>
                              <w:r w:rsidRPr="00933D43">
                                <w:rPr>
                                  <w:sz w:val="20"/>
                                </w:rPr>
                                <w:t>Zdroje OZE s podporou pod de minim (podpora elektřiny z OZE nebo kumulace</w:t>
                              </w:r>
                              <w:r>
                                <w:rPr>
                                  <w:sz w:val="20"/>
                                </w:rPr>
                                <w:t xml:space="preserve"> podpor</w:t>
                              </w:r>
                              <w:r w:rsidRPr="00933D43">
                                <w:rPr>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Přímá spojnice se šipkou 14"/>
                        <wps:cNvCnPr/>
                        <wps:spPr>
                          <a:xfrm>
                            <a:off x="3095625" y="1419225"/>
                            <a:ext cx="45719" cy="395955"/>
                          </a:xfrm>
                          <a:prstGeom prst="straightConnector1">
                            <a:avLst/>
                          </a:prstGeom>
                          <a:noFill/>
                          <a:ln w="6350" cap="flat" cmpd="sng" algn="ctr">
                            <a:solidFill>
                              <a:srgbClr val="E31B23"/>
                            </a:solidFill>
                            <a:prstDash val="solid"/>
                            <a:miter lim="800000"/>
                            <a:tailEnd type="triangle"/>
                          </a:ln>
                          <a:effectLst/>
                        </wps:spPr>
                        <wps:bodyPr/>
                      </wps:wsp>
                      <wps:wsp>
                        <wps:cNvPr id="15" name="Přímá spojnice se šipkou 15"/>
                        <wps:cNvCnPr/>
                        <wps:spPr>
                          <a:xfrm>
                            <a:off x="5343525" y="1371600"/>
                            <a:ext cx="66675" cy="431455"/>
                          </a:xfrm>
                          <a:prstGeom prst="straightConnector1">
                            <a:avLst/>
                          </a:prstGeom>
                          <a:noFill/>
                          <a:ln w="6350" cap="flat" cmpd="sng" algn="ctr">
                            <a:solidFill>
                              <a:srgbClr val="E31B23"/>
                            </a:solidFill>
                            <a:prstDash val="solid"/>
                            <a:miter lim="800000"/>
                            <a:tailEnd type="triangle"/>
                          </a:ln>
                          <a:effectLst/>
                        </wps:spPr>
                        <wps:bodyPr/>
                      </wps:wsp>
                      <wps:wsp>
                        <wps:cNvPr id="16" name="Přímá spojnice se šipkou 16"/>
                        <wps:cNvCnPr/>
                        <wps:spPr>
                          <a:xfrm>
                            <a:off x="3476625" y="1371600"/>
                            <a:ext cx="1568985" cy="419235"/>
                          </a:xfrm>
                          <a:prstGeom prst="straightConnector1">
                            <a:avLst/>
                          </a:prstGeom>
                          <a:noFill/>
                          <a:ln w="6350" cap="flat" cmpd="sng" algn="ctr">
                            <a:solidFill>
                              <a:srgbClr val="E31B23"/>
                            </a:solidFill>
                            <a:prstDash val="solid"/>
                            <a:miter lim="800000"/>
                            <a:tailEnd type="triangle"/>
                          </a:ln>
                          <a:effectLst/>
                        </wps:spPr>
                        <wps:bodyPr/>
                      </wps:wsp>
                      <wps:wsp>
                        <wps:cNvPr id="17" name="Přímá spojnice se šipkou 17"/>
                        <wps:cNvCnPr/>
                        <wps:spPr>
                          <a:xfrm flipH="1">
                            <a:off x="3228975" y="1371600"/>
                            <a:ext cx="1820450" cy="402665"/>
                          </a:xfrm>
                          <a:prstGeom prst="straightConnector1">
                            <a:avLst/>
                          </a:prstGeom>
                          <a:noFill/>
                          <a:ln w="6350" cap="flat" cmpd="sng" algn="ctr">
                            <a:solidFill>
                              <a:srgbClr val="E31B23"/>
                            </a:solidFill>
                            <a:prstDash val="solid"/>
                            <a:miter lim="800000"/>
                            <a:tailEnd type="triangle"/>
                          </a:ln>
                          <a:effectLst/>
                        </wps:spPr>
                        <wps:bodyPr/>
                      </wps:wsp>
                      <wps:wsp>
                        <wps:cNvPr id="18" name="Zaoblený obdélník 18"/>
                        <wps:cNvSpPr/>
                        <wps:spPr>
                          <a:xfrm>
                            <a:off x="4648200" y="2781300"/>
                            <a:ext cx="1597970" cy="561340"/>
                          </a:xfrm>
                          <a:prstGeom prst="roundRect">
                            <a:avLst/>
                          </a:prstGeom>
                          <a:gradFill rotWithShape="1">
                            <a:gsLst>
                              <a:gs pos="0">
                                <a:srgbClr val="13B5EA">
                                  <a:lumMod val="110000"/>
                                  <a:satMod val="105000"/>
                                  <a:tint val="67000"/>
                                </a:srgbClr>
                              </a:gs>
                              <a:gs pos="50000">
                                <a:srgbClr val="13B5EA">
                                  <a:lumMod val="105000"/>
                                  <a:satMod val="103000"/>
                                  <a:tint val="73000"/>
                                </a:srgbClr>
                              </a:gs>
                              <a:gs pos="100000">
                                <a:srgbClr val="13B5EA">
                                  <a:lumMod val="105000"/>
                                  <a:satMod val="109000"/>
                                  <a:tint val="81000"/>
                                </a:srgbClr>
                              </a:gs>
                            </a:gsLst>
                            <a:lin ang="5400000" scaled="0"/>
                          </a:gradFill>
                          <a:ln w="6350" cap="flat" cmpd="sng" algn="ctr">
                            <a:solidFill>
                              <a:srgbClr val="13B5EA"/>
                            </a:solidFill>
                            <a:prstDash val="solid"/>
                            <a:miter lim="800000"/>
                          </a:ln>
                          <a:effectLst/>
                        </wps:spPr>
                        <wps:txbx>
                          <w:txbxContent>
                            <w:p w14:paraId="43300F16" w14:textId="77777777" w:rsidR="00034AD2" w:rsidRPr="00933D43" w:rsidRDefault="00034AD2" w:rsidP="00853FA9">
                              <w:pPr>
                                <w:spacing w:after="0" w:line="240" w:lineRule="auto"/>
                                <w:jc w:val="center"/>
                                <w:rPr>
                                  <w:sz w:val="20"/>
                                </w:rPr>
                              </w:pPr>
                              <w:r w:rsidRPr="00933D43">
                                <w:rPr>
                                  <w:sz w:val="20"/>
                                </w:rPr>
                                <w:t>Zdroje OZE nespadající do kontrolního mechanismu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Přímá spojnice se šipkou 19"/>
                        <wps:cNvCnPr/>
                        <wps:spPr>
                          <a:xfrm flipH="1">
                            <a:off x="5314950" y="2533650"/>
                            <a:ext cx="45719" cy="244800"/>
                          </a:xfrm>
                          <a:prstGeom prst="straightConnector1">
                            <a:avLst/>
                          </a:prstGeom>
                          <a:noFill/>
                          <a:ln w="6350" cap="flat" cmpd="sng" algn="ctr">
                            <a:solidFill>
                              <a:srgbClr val="E31B23"/>
                            </a:solidFill>
                            <a:prstDash val="solid"/>
                            <a:miter lim="800000"/>
                            <a:tailEnd type="triangle"/>
                          </a:ln>
                          <a:effectLst/>
                        </wps:spPr>
                        <wps:bodyPr/>
                      </wps:wsp>
                      <wps:wsp>
                        <wps:cNvPr id="21" name="Zaoblený obdélník 21"/>
                        <wps:cNvSpPr/>
                        <wps:spPr>
                          <a:xfrm>
                            <a:off x="57150" y="2781300"/>
                            <a:ext cx="1713600" cy="561340"/>
                          </a:xfrm>
                          <a:prstGeom prst="roundRect">
                            <a:avLst/>
                          </a:prstGeom>
                          <a:gradFill rotWithShape="1">
                            <a:gsLst>
                              <a:gs pos="0">
                                <a:srgbClr val="B5121B">
                                  <a:lumMod val="110000"/>
                                  <a:satMod val="105000"/>
                                  <a:tint val="67000"/>
                                </a:srgbClr>
                              </a:gs>
                              <a:gs pos="50000">
                                <a:srgbClr val="B5121B">
                                  <a:lumMod val="105000"/>
                                  <a:satMod val="103000"/>
                                  <a:tint val="73000"/>
                                </a:srgbClr>
                              </a:gs>
                              <a:gs pos="100000">
                                <a:srgbClr val="B5121B">
                                  <a:lumMod val="105000"/>
                                  <a:satMod val="109000"/>
                                  <a:tint val="81000"/>
                                </a:srgbClr>
                              </a:gs>
                            </a:gsLst>
                            <a:lin ang="5400000" scaled="0"/>
                          </a:gradFill>
                          <a:ln w="6350" cap="flat" cmpd="sng" algn="ctr">
                            <a:solidFill>
                              <a:srgbClr val="B5121B"/>
                            </a:solidFill>
                            <a:prstDash val="solid"/>
                            <a:miter lim="800000"/>
                          </a:ln>
                          <a:effectLst/>
                        </wps:spPr>
                        <wps:txbx>
                          <w:txbxContent>
                            <w:p w14:paraId="3F71566B" w14:textId="77777777" w:rsidR="00034AD2" w:rsidRPr="00933D43" w:rsidRDefault="00034AD2" w:rsidP="00853FA9">
                              <w:pPr>
                                <w:spacing w:after="0" w:line="240" w:lineRule="auto"/>
                                <w:jc w:val="center"/>
                                <w:rPr>
                                  <w:sz w:val="20"/>
                                </w:rPr>
                              </w:pPr>
                              <w:r w:rsidRPr="00933D43">
                                <w:rPr>
                                  <w:sz w:val="20"/>
                                </w:rPr>
                                <w:t>Zdroje OZE pouze s podporou elektřiny z OZE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Zaoblený obdélník 22"/>
                        <wps:cNvSpPr/>
                        <wps:spPr>
                          <a:xfrm>
                            <a:off x="2076450" y="2800350"/>
                            <a:ext cx="2289600" cy="561340"/>
                          </a:xfrm>
                          <a:prstGeom prst="roundRect">
                            <a:avLst/>
                          </a:prstGeom>
                          <a:gradFill rotWithShape="1">
                            <a:gsLst>
                              <a:gs pos="0">
                                <a:srgbClr val="B5121B">
                                  <a:lumMod val="110000"/>
                                  <a:satMod val="105000"/>
                                  <a:tint val="67000"/>
                                </a:srgbClr>
                              </a:gs>
                              <a:gs pos="50000">
                                <a:srgbClr val="B5121B">
                                  <a:lumMod val="105000"/>
                                  <a:satMod val="103000"/>
                                  <a:tint val="73000"/>
                                </a:srgbClr>
                              </a:gs>
                              <a:gs pos="100000">
                                <a:srgbClr val="B5121B">
                                  <a:lumMod val="105000"/>
                                  <a:satMod val="109000"/>
                                  <a:tint val="81000"/>
                                </a:srgbClr>
                              </a:gs>
                            </a:gsLst>
                            <a:lin ang="5400000" scaled="0"/>
                          </a:gradFill>
                          <a:ln w="6350" cap="flat" cmpd="sng" algn="ctr">
                            <a:solidFill>
                              <a:srgbClr val="B5121B"/>
                            </a:solidFill>
                            <a:prstDash val="solid"/>
                            <a:miter lim="800000"/>
                          </a:ln>
                          <a:effectLst/>
                        </wps:spPr>
                        <wps:txbx>
                          <w:txbxContent>
                            <w:p w14:paraId="5754DB7D" w14:textId="77777777" w:rsidR="00034AD2" w:rsidRPr="00933D43" w:rsidRDefault="00034AD2" w:rsidP="00853FA9">
                              <w:pPr>
                                <w:spacing w:after="0" w:line="240" w:lineRule="auto"/>
                                <w:jc w:val="center"/>
                                <w:rPr>
                                  <w:sz w:val="20"/>
                                </w:rPr>
                              </w:pPr>
                              <w:r w:rsidRPr="00933D43">
                                <w:rPr>
                                  <w:sz w:val="20"/>
                                </w:rPr>
                                <w:t>Zdroje OZE s podporou elektřiny z OZE a další podporou (kumulace podpor)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Přímá spojnice se šipkou 23"/>
                        <wps:cNvCnPr/>
                        <wps:spPr>
                          <a:xfrm flipH="1">
                            <a:off x="1181100" y="2447925"/>
                            <a:ext cx="1072515" cy="351790"/>
                          </a:xfrm>
                          <a:prstGeom prst="straightConnector1">
                            <a:avLst/>
                          </a:prstGeom>
                          <a:noFill/>
                          <a:ln w="6350" cap="flat" cmpd="sng" algn="ctr">
                            <a:solidFill>
                              <a:srgbClr val="E31B23"/>
                            </a:solidFill>
                            <a:prstDash val="solid"/>
                            <a:miter lim="800000"/>
                            <a:tailEnd type="triangle"/>
                          </a:ln>
                          <a:effectLst/>
                        </wps:spPr>
                        <wps:bodyPr/>
                      </wps:wsp>
                      <wps:wsp>
                        <wps:cNvPr id="24" name="Přímá spojnice se šipkou 24"/>
                        <wps:cNvCnPr/>
                        <wps:spPr>
                          <a:xfrm>
                            <a:off x="3305175" y="2533650"/>
                            <a:ext cx="45719" cy="265390"/>
                          </a:xfrm>
                          <a:prstGeom prst="straightConnector1">
                            <a:avLst/>
                          </a:prstGeom>
                          <a:noFill/>
                          <a:ln w="6350" cap="flat" cmpd="sng" algn="ctr">
                            <a:solidFill>
                              <a:srgbClr val="E31B23"/>
                            </a:solidFill>
                            <a:prstDash val="solid"/>
                            <a:miter lim="800000"/>
                            <a:tailEnd type="triangle"/>
                          </a:ln>
                          <a:effectLst/>
                        </wps:spPr>
                        <wps:bodyPr/>
                      </wps:wsp>
                      <wps:wsp>
                        <wps:cNvPr id="26" name="Zaoblený obdélník 26"/>
                        <wps:cNvSpPr/>
                        <wps:spPr>
                          <a:xfrm>
                            <a:off x="19050" y="3724275"/>
                            <a:ext cx="1958400" cy="813600"/>
                          </a:xfrm>
                          <a:prstGeom prst="roundRect">
                            <a:avLst/>
                          </a:prstGeom>
                          <a:solidFill>
                            <a:srgbClr val="E31B23"/>
                          </a:solidFill>
                          <a:ln w="12700" cap="flat" cmpd="sng" algn="ctr">
                            <a:solidFill>
                              <a:srgbClr val="E31B23">
                                <a:shade val="50000"/>
                              </a:srgbClr>
                            </a:solidFill>
                            <a:prstDash val="solid"/>
                            <a:miter lim="800000"/>
                          </a:ln>
                          <a:effectLst/>
                        </wps:spPr>
                        <wps:txbx>
                          <w:txbxContent>
                            <w:p w14:paraId="6698C0F7" w14:textId="52686461" w:rsidR="00034AD2" w:rsidRPr="00933D43" w:rsidRDefault="00034AD2" w:rsidP="00853FA9">
                              <w:pPr>
                                <w:spacing w:after="0" w:line="240" w:lineRule="auto"/>
                                <w:jc w:val="center"/>
                                <w:rPr>
                                  <w:sz w:val="20"/>
                                </w:rPr>
                              </w:pPr>
                              <w:r w:rsidRPr="00933D43">
                                <w:rPr>
                                  <w:sz w:val="20"/>
                                </w:rPr>
                                <w:t>Rozdělení zdrojů OZE na hladiny podle velikosti instalovaného výkonu</w:t>
                              </w:r>
                              <w:r>
                                <w:rPr>
                                  <w:sz w:val="20"/>
                                </w:rPr>
                                <w:t xml:space="preserve"> a podle data uvedení zdroje do provozu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Zaoblený obdélník 27"/>
                        <wps:cNvSpPr/>
                        <wps:spPr>
                          <a:xfrm>
                            <a:off x="2181225" y="3724275"/>
                            <a:ext cx="1958340" cy="1000800"/>
                          </a:xfrm>
                          <a:prstGeom prst="roundRect">
                            <a:avLst/>
                          </a:prstGeom>
                          <a:solidFill>
                            <a:srgbClr val="E31B23"/>
                          </a:solidFill>
                          <a:ln w="12700" cap="flat" cmpd="sng" algn="ctr">
                            <a:solidFill>
                              <a:srgbClr val="E31B23">
                                <a:shade val="50000"/>
                              </a:srgbClr>
                            </a:solidFill>
                            <a:prstDash val="solid"/>
                            <a:miter lim="800000"/>
                          </a:ln>
                          <a:effectLst/>
                        </wps:spPr>
                        <wps:txbx>
                          <w:txbxContent>
                            <w:p w14:paraId="7AF2AB36" w14:textId="77777777" w:rsidR="00034AD2" w:rsidRPr="00933D43" w:rsidRDefault="00034AD2" w:rsidP="00853FA9">
                              <w:pPr>
                                <w:spacing w:after="0" w:line="240" w:lineRule="auto"/>
                                <w:jc w:val="center"/>
                                <w:rPr>
                                  <w:sz w:val="20"/>
                                </w:rPr>
                              </w:pPr>
                              <w:r w:rsidRPr="00933D43">
                                <w:rPr>
                                  <w:sz w:val="20"/>
                                </w:rPr>
                                <w:t xml:space="preserve">Rozdělení zdrojů OZE podle druhu kumulace podpory elektřiny z OZE s dalšími druhy podpor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Přímá spojnice se šipkou 28"/>
                        <wps:cNvCnPr/>
                        <wps:spPr>
                          <a:xfrm flipH="1">
                            <a:off x="847725" y="3362325"/>
                            <a:ext cx="45719" cy="331030"/>
                          </a:xfrm>
                          <a:prstGeom prst="straightConnector1">
                            <a:avLst/>
                          </a:prstGeom>
                          <a:noFill/>
                          <a:ln w="6350" cap="flat" cmpd="sng" algn="ctr">
                            <a:solidFill>
                              <a:srgbClr val="E31B23"/>
                            </a:solidFill>
                            <a:prstDash val="solid"/>
                            <a:miter lim="800000"/>
                            <a:tailEnd type="triangle"/>
                          </a:ln>
                          <a:effectLst/>
                        </wps:spPr>
                        <wps:bodyPr/>
                      </wps:wsp>
                      <wps:wsp>
                        <wps:cNvPr id="29" name="Přímá spojnice se šipkou 29"/>
                        <wps:cNvCnPr/>
                        <wps:spPr>
                          <a:xfrm>
                            <a:off x="3238500" y="3362325"/>
                            <a:ext cx="45719" cy="367200"/>
                          </a:xfrm>
                          <a:prstGeom prst="straightConnector1">
                            <a:avLst/>
                          </a:prstGeom>
                          <a:noFill/>
                          <a:ln w="6350" cap="flat" cmpd="sng" algn="ctr">
                            <a:solidFill>
                              <a:srgbClr val="E31B23"/>
                            </a:solidFill>
                            <a:prstDash val="solid"/>
                            <a:miter lim="800000"/>
                            <a:tailEnd type="triangle"/>
                          </a:ln>
                          <a:effectLst/>
                        </wps:spPr>
                        <wps:bodyPr/>
                      </wps:wsp>
                      <wps:wsp>
                        <wps:cNvPr id="30" name="Zaoblený obdélník 30"/>
                        <wps:cNvSpPr/>
                        <wps:spPr>
                          <a:xfrm>
                            <a:off x="19050" y="4857750"/>
                            <a:ext cx="2145600" cy="597360"/>
                          </a:xfrm>
                          <a:prstGeom prst="roundRect">
                            <a:avLst/>
                          </a:prstGeom>
                          <a:solidFill>
                            <a:srgbClr val="B9E0F7"/>
                          </a:solidFill>
                          <a:ln w="12700" cap="flat" cmpd="sng" algn="ctr">
                            <a:solidFill>
                              <a:srgbClr val="B9E0F7">
                                <a:shade val="50000"/>
                              </a:srgbClr>
                            </a:solidFill>
                            <a:prstDash val="solid"/>
                            <a:miter lim="800000"/>
                          </a:ln>
                          <a:effectLst/>
                        </wps:spPr>
                        <wps:txbx>
                          <w:txbxContent>
                            <w:p w14:paraId="17856C4A" w14:textId="3BF57E0B" w:rsidR="00034AD2" w:rsidRPr="00933D43" w:rsidRDefault="00034AD2" w:rsidP="00853FA9">
                              <w:pPr>
                                <w:spacing w:after="0" w:line="240" w:lineRule="auto"/>
                                <w:jc w:val="center"/>
                                <w:rPr>
                                  <w:sz w:val="20"/>
                                </w:rPr>
                              </w:pPr>
                              <w:r w:rsidRPr="00933D43">
                                <w:rPr>
                                  <w:sz w:val="20"/>
                                </w:rPr>
                                <w:t>Provedení kontroly minimálně 5 zdrojů OZE z každé výkonové hladiny</w:t>
                              </w:r>
                              <w:r>
                                <w:rPr>
                                  <w:sz w:val="20"/>
                                </w:rPr>
                                <w:t xml:space="preserve"> a data uvedení do provozu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Zaoblený obdélník 31"/>
                        <wps:cNvSpPr/>
                        <wps:spPr>
                          <a:xfrm>
                            <a:off x="4267200" y="4295775"/>
                            <a:ext cx="1993900" cy="468000"/>
                          </a:xfrm>
                          <a:prstGeom prst="roundRect">
                            <a:avLst/>
                          </a:prstGeom>
                          <a:solidFill>
                            <a:srgbClr val="B9E0F7"/>
                          </a:solidFill>
                          <a:ln w="12700" cap="flat" cmpd="sng" algn="ctr">
                            <a:solidFill>
                              <a:srgbClr val="B9E0F7">
                                <a:shade val="50000"/>
                              </a:srgbClr>
                            </a:solidFill>
                            <a:prstDash val="solid"/>
                            <a:miter lim="800000"/>
                          </a:ln>
                          <a:effectLst/>
                        </wps:spPr>
                        <wps:txbx>
                          <w:txbxContent>
                            <w:p w14:paraId="6DB855A0" w14:textId="77777777" w:rsidR="00034AD2" w:rsidRPr="00D3208C" w:rsidRDefault="00034AD2" w:rsidP="00853FA9">
                              <w:pPr>
                                <w:spacing w:after="0" w:line="240" w:lineRule="auto"/>
                                <w:jc w:val="center"/>
                                <w:rPr>
                                  <w:sz w:val="20"/>
                                </w:rPr>
                              </w:pPr>
                              <w:r w:rsidRPr="00D3208C">
                                <w:rPr>
                                  <w:sz w:val="20"/>
                                </w:rPr>
                                <w:t xml:space="preserve">Podpora elektřiny z OZE + podpora decentrální výroby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Přímá spojnice se šipkou 32"/>
                        <wps:cNvCnPr/>
                        <wps:spPr>
                          <a:xfrm>
                            <a:off x="914400" y="4562475"/>
                            <a:ext cx="57600" cy="288000"/>
                          </a:xfrm>
                          <a:prstGeom prst="straightConnector1">
                            <a:avLst/>
                          </a:prstGeom>
                          <a:noFill/>
                          <a:ln w="6350" cap="flat" cmpd="sng" algn="ctr">
                            <a:solidFill>
                              <a:srgbClr val="E31B23"/>
                            </a:solidFill>
                            <a:prstDash val="solid"/>
                            <a:miter lim="800000"/>
                            <a:tailEnd type="triangle"/>
                          </a:ln>
                          <a:effectLst/>
                        </wps:spPr>
                        <wps:bodyPr/>
                      </wps:wsp>
                      <wps:wsp>
                        <wps:cNvPr id="34" name="Zaoblený obdélník 34"/>
                        <wps:cNvSpPr/>
                        <wps:spPr>
                          <a:xfrm>
                            <a:off x="4295775" y="4933950"/>
                            <a:ext cx="1965325" cy="518400"/>
                          </a:xfrm>
                          <a:prstGeom prst="roundRect">
                            <a:avLst/>
                          </a:prstGeom>
                          <a:solidFill>
                            <a:srgbClr val="B9E0F7"/>
                          </a:solidFill>
                          <a:ln w="12700" cap="flat" cmpd="sng" algn="ctr">
                            <a:solidFill>
                              <a:srgbClr val="B9E0F7">
                                <a:shade val="50000"/>
                              </a:srgbClr>
                            </a:solidFill>
                            <a:prstDash val="solid"/>
                            <a:miter lim="800000"/>
                          </a:ln>
                          <a:effectLst/>
                        </wps:spPr>
                        <wps:txbx>
                          <w:txbxContent>
                            <w:p w14:paraId="6E0F3814" w14:textId="77777777" w:rsidR="00034AD2" w:rsidRPr="00D3208C" w:rsidRDefault="00034AD2" w:rsidP="00853FA9">
                              <w:pPr>
                                <w:spacing w:after="0" w:line="240" w:lineRule="auto"/>
                                <w:jc w:val="center"/>
                                <w:rPr>
                                  <w:sz w:val="20"/>
                                </w:rPr>
                              </w:pPr>
                              <w:r w:rsidRPr="00D3208C">
                                <w:rPr>
                                  <w:sz w:val="20"/>
                                </w:rPr>
                                <w:t>Podpora elektřiny z OZE + podpora elektřiny z KVET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Zaoblený obdélník 35"/>
                        <wps:cNvSpPr/>
                        <wps:spPr>
                          <a:xfrm>
                            <a:off x="4324350" y="5553075"/>
                            <a:ext cx="1965325" cy="496800"/>
                          </a:xfrm>
                          <a:prstGeom prst="roundRect">
                            <a:avLst/>
                          </a:prstGeom>
                          <a:solidFill>
                            <a:srgbClr val="B9E0F7"/>
                          </a:solidFill>
                          <a:ln w="12700" cap="flat" cmpd="sng" algn="ctr">
                            <a:solidFill>
                              <a:srgbClr val="B9E0F7">
                                <a:shade val="50000"/>
                              </a:srgbClr>
                            </a:solidFill>
                            <a:prstDash val="solid"/>
                            <a:miter lim="800000"/>
                          </a:ln>
                          <a:effectLst/>
                        </wps:spPr>
                        <wps:txbx>
                          <w:txbxContent>
                            <w:p w14:paraId="7B1DCC1F" w14:textId="77777777" w:rsidR="00034AD2" w:rsidRPr="00D3208C" w:rsidRDefault="00034AD2" w:rsidP="00853FA9">
                              <w:pPr>
                                <w:spacing w:after="0" w:line="240" w:lineRule="auto"/>
                                <w:jc w:val="center"/>
                                <w:rPr>
                                  <w:sz w:val="20"/>
                                </w:rPr>
                              </w:pPr>
                              <w:r w:rsidRPr="00D3208C">
                                <w:rPr>
                                  <w:sz w:val="20"/>
                                </w:rPr>
                                <w:t>Podpora elektřiny z OZE + podpora tepla z OZE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Zaoblený obdélník 36"/>
                        <wps:cNvSpPr/>
                        <wps:spPr>
                          <a:xfrm>
                            <a:off x="4343400" y="6172200"/>
                            <a:ext cx="1965325" cy="496800"/>
                          </a:xfrm>
                          <a:prstGeom prst="roundRect">
                            <a:avLst/>
                          </a:prstGeom>
                          <a:solidFill>
                            <a:srgbClr val="B9E0F7"/>
                          </a:solidFill>
                          <a:ln w="12700" cap="flat" cmpd="sng" algn="ctr">
                            <a:solidFill>
                              <a:srgbClr val="B9E0F7">
                                <a:shade val="50000"/>
                              </a:srgbClr>
                            </a:solidFill>
                            <a:prstDash val="solid"/>
                            <a:miter lim="800000"/>
                          </a:ln>
                          <a:effectLst/>
                        </wps:spPr>
                        <wps:txbx>
                          <w:txbxContent>
                            <w:p w14:paraId="02B53014" w14:textId="77777777" w:rsidR="00034AD2" w:rsidRPr="00D3208C" w:rsidRDefault="00034AD2" w:rsidP="00853FA9">
                              <w:pPr>
                                <w:spacing w:after="0" w:line="240" w:lineRule="auto"/>
                                <w:jc w:val="center"/>
                                <w:rPr>
                                  <w:sz w:val="20"/>
                                </w:rPr>
                              </w:pPr>
                              <w:r w:rsidRPr="00D3208C">
                                <w:rPr>
                                  <w:sz w:val="20"/>
                                </w:rPr>
                                <w:t>Podpora elektřiny z OZE + podpora druhotných zdrojů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Zaoblený obdélník 38"/>
                        <wps:cNvSpPr/>
                        <wps:spPr>
                          <a:xfrm>
                            <a:off x="4410075" y="6791325"/>
                            <a:ext cx="1914935" cy="511175"/>
                          </a:xfrm>
                          <a:prstGeom prst="roundRect">
                            <a:avLst/>
                          </a:prstGeom>
                          <a:solidFill>
                            <a:srgbClr val="B9E0F7"/>
                          </a:solidFill>
                          <a:ln w="12700" cap="flat" cmpd="sng" algn="ctr">
                            <a:solidFill>
                              <a:srgbClr val="B9E0F7">
                                <a:shade val="50000"/>
                              </a:srgbClr>
                            </a:solidFill>
                            <a:prstDash val="solid"/>
                            <a:miter lim="800000"/>
                          </a:ln>
                          <a:effectLst/>
                        </wps:spPr>
                        <wps:txbx>
                          <w:txbxContent>
                            <w:p w14:paraId="08721B00" w14:textId="77777777" w:rsidR="00034AD2" w:rsidRPr="00D3208C" w:rsidRDefault="00034AD2" w:rsidP="00853FA9">
                              <w:pPr>
                                <w:spacing w:after="0" w:line="240" w:lineRule="auto"/>
                                <w:jc w:val="center"/>
                                <w:rPr>
                                  <w:sz w:val="20"/>
                                </w:rPr>
                              </w:pPr>
                              <w:r w:rsidRPr="00D3208C">
                                <w:rPr>
                                  <w:sz w:val="20"/>
                                </w:rPr>
                                <w:t xml:space="preserve">Podpora elektřiny z OZE + investiční podpora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Zaoblený obdélník 40"/>
                        <wps:cNvSpPr/>
                        <wps:spPr>
                          <a:xfrm>
                            <a:off x="4343400" y="7410450"/>
                            <a:ext cx="1965325" cy="345600"/>
                          </a:xfrm>
                          <a:prstGeom prst="roundRect">
                            <a:avLst/>
                          </a:prstGeom>
                          <a:solidFill>
                            <a:srgbClr val="B9E0F7"/>
                          </a:solidFill>
                          <a:ln w="12700" cap="flat" cmpd="sng" algn="ctr">
                            <a:solidFill>
                              <a:srgbClr val="B9E0F7">
                                <a:shade val="50000"/>
                              </a:srgbClr>
                            </a:solidFill>
                            <a:prstDash val="solid"/>
                            <a:miter lim="800000"/>
                          </a:ln>
                          <a:effectLst/>
                        </wps:spPr>
                        <wps:txbx>
                          <w:txbxContent>
                            <w:p w14:paraId="62F7CB72" w14:textId="77777777" w:rsidR="00034AD2" w:rsidRPr="00D3208C" w:rsidRDefault="00034AD2" w:rsidP="007D785A">
                              <w:pPr>
                                <w:jc w:val="center"/>
                                <w:rPr>
                                  <w:sz w:val="20"/>
                                </w:rPr>
                              </w:pPr>
                              <w:r w:rsidRPr="00D3208C">
                                <w:rPr>
                                  <w:sz w:val="20"/>
                                </w:rPr>
                                <w:t>Kumulace více druhů podpor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Přímá spojnice se šipkou 45"/>
                        <wps:cNvCnPr/>
                        <wps:spPr>
                          <a:xfrm>
                            <a:off x="3305175" y="4762500"/>
                            <a:ext cx="769590" cy="1201495"/>
                          </a:xfrm>
                          <a:prstGeom prst="straightConnector1">
                            <a:avLst/>
                          </a:prstGeom>
                          <a:noFill/>
                          <a:ln w="6350" cap="flat" cmpd="sng" algn="ctr">
                            <a:solidFill>
                              <a:srgbClr val="E31B23"/>
                            </a:solidFill>
                            <a:prstDash val="solid"/>
                            <a:miter lim="800000"/>
                            <a:tailEnd type="triangle"/>
                          </a:ln>
                          <a:effectLst/>
                        </wps:spPr>
                        <wps:bodyPr/>
                      </wps:wsp>
                      <wps:wsp>
                        <wps:cNvPr id="49" name="Zaoblený obdélník 49"/>
                        <wps:cNvSpPr/>
                        <wps:spPr>
                          <a:xfrm>
                            <a:off x="4067175" y="8077200"/>
                            <a:ext cx="1965325" cy="431945"/>
                          </a:xfrm>
                          <a:prstGeom prst="roundRect">
                            <a:avLst>
                              <a:gd name="adj" fmla="val 15314"/>
                            </a:avLst>
                          </a:prstGeom>
                          <a:gradFill rotWithShape="1">
                            <a:gsLst>
                              <a:gs pos="0">
                                <a:srgbClr val="B5121B">
                                  <a:lumMod val="110000"/>
                                  <a:satMod val="105000"/>
                                  <a:tint val="67000"/>
                                </a:srgbClr>
                              </a:gs>
                              <a:gs pos="50000">
                                <a:srgbClr val="B5121B">
                                  <a:lumMod val="105000"/>
                                  <a:satMod val="103000"/>
                                  <a:tint val="73000"/>
                                </a:srgbClr>
                              </a:gs>
                              <a:gs pos="100000">
                                <a:srgbClr val="B5121B">
                                  <a:lumMod val="105000"/>
                                  <a:satMod val="109000"/>
                                  <a:tint val="81000"/>
                                </a:srgbClr>
                              </a:gs>
                            </a:gsLst>
                            <a:lin ang="5400000" scaled="0"/>
                          </a:gradFill>
                          <a:ln w="6350" cap="flat" cmpd="sng" algn="ctr">
                            <a:solidFill>
                              <a:srgbClr val="B5121B"/>
                            </a:solidFill>
                            <a:prstDash val="solid"/>
                            <a:miter lim="800000"/>
                          </a:ln>
                          <a:effectLst/>
                        </wps:spPr>
                        <wps:txbx>
                          <w:txbxContent>
                            <w:p w14:paraId="3BA5DC46" w14:textId="77777777" w:rsidR="00034AD2" w:rsidRPr="00933D43" w:rsidRDefault="00034AD2" w:rsidP="00853FA9">
                              <w:pPr>
                                <w:spacing w:after="0" w:line="240" w:lineRule="auto"/>
                                <w:jc w:val="center"/>
                                <w:rPr>
                                  <w:sz w:val="20"/>
                                </w:rPr>
                              </w:pPr>
                              <w:r w:rsidRPr="00933D43">
                                <w:rPr>
                                  <w:sz w:val="20"/>
                                </w:rPr>
                                <w:t>Rozdělení kontroly na zjednodušenou a podrobnou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Levá složená závorka 51"/>
                        <wps:cNvSpPr/>
                        <wps:spPr>
                          <a:xfrm>
                            <a:off x="4143375" y="4229100"/>
                            <a:ext cx="172800" cy="3527840"/>
                          </a:xfrm>
                          <a:prstGeom prst="leftBrace">
                            <a:avLst/>
                          </a:prstGeom>
                          <a:noFill/>
                          <a:ln w="6350" cap="flat" cmpd="sng" algn="ctr">
                            <a:solidFill>
                              <a:srgbClr val="E31B23"/>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Pravá složená závorka 52"/>
                        <wps:cNvSpPr/>
                        <wps:spPr>
                          <a:xfrm>
                            <a:off x="6200775" y="4219575"/>
                            <a:ext cx="301545" cy="3614400"/>
                          </a:xfrm>
                          <a:prstGeom prst="rightBrace">
                            <a:avLst/>
                          </a:prstGeom>
                          <a:noFill/>
                          <a:ln w="6350" cap="flat" cmpd="sng" algn="ctr">
                            <a:solidFill>
                              <a:srgbClr val="E31B23"/>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Zaoblený obdélník 57"/>
                        <wps:cNvSpPr/>
                        <wps:spPr>
                          <a:xfrm>
                            <a:off x="38096" y="5857675"/>
                            <a:ext cx="2409692" cy="933434"/>
                          </a:xfrm>
                          <a:prstGeom prst="roundRect">
                            <a:avLst/>
                          </a:prstGeom>
                          <a:gradFill rotWithShape="1">
                            <a:gsLst>
                              <a:gs pos="0">
                                <a:srgbClr val="B5121B">
                                  <a:lumMod val="110000"/>
                                  <a:satMod val="105000"/>
                                  <a:tint val="67000"/>
                                </a:srgbClr>
                              </a:gs>
                              <a:gs pos="50000">
                                <a:srgbClr val="B5121B">
                                  <a:lumMod val="105000"/>
                                  <a:satMod val="103000"/>
                                  <a:tint val="73000"/>
                                </a:srgbClr>
                              </a:gs>
                              <a:gs pos="100000">
                                <a:srgbClr val="B5121B">
                                  <a:lumMod val="105000"/>
                                  <a:satMod val="109000"/>
                                  <a:tint val="81000"/>
                                </a:srgbClr>
                              </a:gs>
                            </a:gsLst>
                            <a:lin ang="5400000" scaled="0"/>
                          </a:gradFill>
                          <a:ln w="6350" cap="flat" cmpd="sng" algn="ctr">
                            <a:solidFill>
                              <a:srgbClr val="B5121B"/>
                            </a:solidFill>
                            <a:prstDash val="solid"/>
                            <a:miter lim="800000"/>
                          </a:ln>
                          <a:effectLst/>
                        </wps:spPr>
                        <wps:txbx>
                          <w:txbxContent>
                            <w:p w14:paraId="7632B1A7" w14:textId="24A991B5" w:rsidR="00034AD2" w:rsidRPr="00933D43" w:rsidRDefault="00034AD2" w:rsidP="00853FA9">
                              <w:pPr>
                                <w:spacing w:after="0" w:line="240" w:lineRule="auto"/>
                                <w:jc w:val="center"/>
                                <w:rPr>
                                  <w:sz w:val="20"/>
                                </w:rPr>
                              </w:pPr>
                              <w:r w:rsidRPr="00EB06F0">
                                <w:rPr>
                                  <w:sz w:val="20"/>
                                </w:rPr>
                                <w:t xml:space="preserve">Provedení kontroly </w:t>
                              </w:r>
                              <w:r w:rsidRPr="00EB06F0">
                                <w:rPr>
                                  <w:iCs/>
                                  <w:color w:val="000000"/>
                                  <w:sz w:val="20"/>
                                </w:rPr>
                                <w:t xml:space="preserve">dosavadních  budoucích výrobních nákladů  (provozních a investičních)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Přímá spojnice se šipkou 58"/>
                        <wps:cNvCnPr/>
                        <wps:spPr>
                          <a:xfrm>
                            <a:off x="981075" y="5448300"/>
                            <a:ext cx="45719" cy="396130"/>
                          </a:xfrm>
                          <a:prstGeom prst="straightConnector1">
                            <a:avLst/>
                          </a:prstGeom>
                          <a:noFill/>
                          <a:ln w="6350" cap="flat" cmpd="sng" algn="ctr">
                            <a:solidFill>
                              <a:srgbClr val="E31B23"/>
                            </a:solidFill>
                            <a:prstDash val="solid"/>
                            <a:miter lim="800000"/>
                            <a:tailEnd type="triangle"/>
                          </a:ln>
                          <a:effectLst/>
                        </wps:spPr>
                        <wps:bodyPr/>
                      </wps:wsp>
                      <wps:wsp>
                        <wps:cNvPr id="59" name="Zaoblený obdélník 59"/>
                        <wps:cNvSpPr/>
                        <wps:spPr>
                          <a:xfrm>
                            <a:off x="57150" y="7143750"/>
                            <a:ext cx="1497600" cy="460800"/>
                          </a:xfrm>
                          <a:prstGeom prst="roundRect">
                            <a:avLst/>
                          </a:prstGeom>
                          <a:solidFill>
                            <a:srgbClr val="B9E0F7"/>
                          </a:solidFill>
                          <a:ln w="12700" cap="flat" cmpd="sng" algn="ctr">
                            <a:solidFill>
                              <a:srgbClr val="B9E0F7">
                                <a:shade val="50000"/>
                              </a:srgbClr>
                            </a:solidFill>
                            <a:prstDash val="solid"/>
                            <a:miter lim="800000"/>
                          </a:ln>
                          <a:effectLst/>
                        </wps:spPr>
                        <wps:txbx>
                          <w:txbxContent>
                            <w:p w14:paraId="0F2903D2" w14:textId="77777777" w:rsidR="00034AD2" w:rsidRPr="00D3208C" w:rsidRDefault="00034AD2" w:rsidP="00853FA9">
                              <w:pPr>
                                <w:spacing w:after="0" w:line="240" w:lineRule="auto"/>
                                <w:jc w:val="center"/>
                                <w:rPr>
                                  <w:sz w:val="20"/>
                                </w:rPr>
                              </w:pPr>
                              <w:r w:rsidRPr="00D3208C">
                                <w:rPr>
                                  <w:sz w:val="20"/>
                                </w:rPr>
                                <w:t>Výsledek neidentifikoval výraznou změnu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Přímá spojnice se šipkou 60"/>
                        <wps:cNvCnPr/>
                        <wps:spPr>
                          <a:xfrm flipH="1">
                            <a:off x="657225" y="6762750"/>
                            <a:ext cx="45719" cy="382205"/>
                          </a:xfrm>
                          <a:prstGeom prst="straightConnector1">
                            <a:avLst/>
                          </a:prstGeom>
                          <a:noFill/>
                          <a:ln w="6350" cap="flat" cmpd="sng" algn="ctr">
                            <a:solidFill>
                              <a:srgbClr val="E31B23"/>
                            </a:solidFill>
                            <a:prstDash val="solid"/>
                            <a:miter lim="800000"/>
                            <a:tailEnd type="triangle"/>
                          </a:ln>
                          <a:effectLst/>
                        </wps:spPr>
                        <wps:bodyPr/>
                      </wps:wsp>
                      <wps:wsp>
                        <wps:cNvPr id="63" name="Zaoblený obdélník 63"/>
                        <wps:cNvSpPr/>
                        <wps:spPr>
                          <a:xfrm>
                            <a:off x="1743075" y="7143750"/>
                            <a:ext cx="1497600" cy="460800"/>
                          </a:xfrm>
                          <a:prstGeom prst="roundRect">
                            <a:avLst/>
                          </a:prstGeom>
                          <a:solidFill>
                            <a:srgbClr val="B9E0F7"/>
                          </a:solidFill>
                          <a:ln w="12700" cap="flat" cmpd="sng" algn="ctr">
                            <a:solidFill>
                              <a:srgbClr val="B9E0F7">
                                <a:shade val="50000"/>
                              </a:srgbClr>
                            </a:solidFill>
                            <a:prstDash val="solid"/>
                            <a:miter lim="800000"/>
                          </a:ln>
                          <a:effectLst/>
                        </wps:spPr>
                        <wps:txbx>
                          <w:txbxContent>
                            <w:p w14:paraId="73D3E9B1" w14:textId="77777777" w:rsidR="00034AD2" w:rsidRPr="00D3208C" w:rsidRDefault="00034AD2" w:rsidP="00853FA9">
                              <w:pPr>
                                <w:spacing w:after="0" w:line="240" w:lineRule="auto"/>
                                <w:jc w:val="center"/>
                                <w:rPr>
                                  <w:sz w:val="20"/>
                                </w:rPr>
                              </w:pPr>
                              <w:r>
                                <w:rPr>
                                  <w:sz w:val="20"/>
                                </w:rPr>
                                <w:t xml:space="preserve">Výsledek </w:t>
                              </w:r>
                              <w:r w:rsidRPr="00D3208C">
                                <w:rPr>
                                  <w:sz w:val="20"/>
                                </w:rPr>
                                <w:t>identifikoval výraznou změnu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Přímá spojnice se šipkou 64"/>
                        <wps:cNvCnPr/>
                        <wps:spPr>
                          <a:xfrm>
                            <a:off x="1638208" y="6791209"/>
                            <a:ext cx="616316" cy="343599"/>
                          </a:xfrm>
                          <a:prstGeom prst="straightConnector1">
                            <a:avLst/>
                          </a:prstGeom>
                          <a:noFill/>
                          <a:ln w="6350" cap="flat" cmpd="sng" algn="ctr">
                            <a:solidFill>
                              <a:srgbClr val="E31B23"/>
                            </a:solidFill>
                            <a:prstDash val="solid"/>
                            <a:miter lim="800000"/>
                            <a:tailEnd type="triangle"/>
                          </a:ln>
                          <a:effectLst/>
                        </wps:spPr>
                        <wps:bodyPr/>
                      </wps:wsp>
                      <wps:wsp>
                        <wps:cNvPr id="67" name="Zaoblený obdélník 67"/>
                        <wps:cNvSpPr/>
                        <wps:spPr>
                          <a:xfrm>
                            <a:off x="142875" y="7896225"/>
                            <a:ext cx="1302385" cy="360000"/>
                          </a:xfrm>
                          <a:prstGeom prst="roundRect">
                            <a:avLst/>
                          </a:prstGeom>
                          <a:gradFill rotWithShape="1">
                            <a:gsLst>
                              <a:gs pos="0">
                                <a:srgbClr val="B5121B">
                                  <a:lumMod val="110000"/>
                                  <a:satMod val="105000"/>
                                  <a:tint val="67000"/>
                                </a:srgbClr>
                              </a:gs>
                              <a:gs pos="50000">
                                <a:srgbClr val="B5121B">
                                  <a:lumMod val="105000"/>
                                  <a:satMod val="103000"/>
                                  <a:tint val="73000"/>
                                </a:srgbClr>
                              </a:gs>
                              <a:gs pos="100000">
                                <a:srgbClr val="B5121B">
                                  <a:lumMod val="105000"/>
                                  <a:satMod val="109000"/>
                                  <a:tint val="81000"/>
                                </a:srgbClr>
                              </a:gs>
                            </a:gsLst>
                            <a:lin ang="5400000" scaled="0"/>
                          </a:gradFill>
                          <a:ln w="6350" cap="flat" cmpd="sng" algn="ctr">
                            <a:solidFill>
                              <a:srgbClr val="B5121B"/>
                            </a:solidFill>
                            <a:prstDash val="solid"/>
                            <a:miter lim="800000"/>
                          </a:ln>
                          <a:effectLst/>
                        </wps:spPr>
                        <wps:txbx>
                          <w:txbxContent>
                            <w:p w14:paraId="20190F70" w14:textId="77777777" w:rsidR="00034AD2" w:rsidRPr="00933D43" w:rsidRDefault="00034AD2" w:rsidP="007D785A">
                              <w:pPr>
                                <w:jc w:val="center"/>
                                <w:rPr>
                                  <w:sz w:val="20"/>
                                </w:rPr>
                              </w:pPr>
                              <w:r w:rsidRPr="00933D43">
                                <w:rPr>
                                  <w:sz w:val="20"/>
                                </w:rPr>
                                <w:t>Ukončení kontroly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Přímá spojnice se šipkou 68"/>
                        <wps:cNvCnPr>
                          <a:endCxn id="67" idx="0"/>
                        </wps:cNvCnPr>
                        <wps:spPr>
                          <a:xfrm>
                            <a:off x="657188" y="7591296"/>
                            <a:ext cx="136835" cy="304794"/>
                          </a:xfrm>
                          <a:prstGeom prst="straightConnector1">
                            <a:avLst/>
                          </a:prstGeom>
                          <a:noFill/>
                          <a:ln w="6350" cap="flat" cmpd="sng" algn="ctr">
                            <a:solidFill>
                              <a:srgbClr val="E31B23"/>
                            </a:solidFill>
                            <a:prstDash val="solid"/>
                            <a:miter lim="800000"/>
                            <a:tailEnd type="triangle"/>
                          </a:ln>
                          <a:effectLst/>
                        </wps:spPr>
                        <wps:bodyPr/>
                      </wps:wsp>
                      <wps:wsp>
                        <wps:cNvPr id="69" name="Zaoblený obdélník 69"/>
                        <wps:cNvSpPr/>
                        <wps:spPr>
                          <a:xfrm>
                            <a:off x="1552575" y="7829550"/>
                            <a:ext cx="2281555" cy="640745"/>
                          </a:xfrm>
                          <a:prstGeom prst="roundRect">
                            <a:avLst/>
                          </a:prstGeom>
                          <a:gradFill rotWithShape="1">
                            <a:gsLst>
                              <a:gs pos="0">
                                <a:srgbClr val="B5121B">
                                  <a:lumMod val="110000"/>
                                  <a:satMod val="105000"/>
                                  <a:tint val="67000"/>
                                </a:srgbClr>
                              </a:gs>
                              <a:gs pos="50000">
                                <a:srgbClr val="B5121B">
                                  <a:lumMod val="105000"/>
                                  <a:satMod val="103000"/>
                                  <a:tint val="73000"/>
                                </a:srgbClr>
                              </a:gs>
                              <a:gs pos="100000">
                                <a:srgbClr val="B5121B">
                                  <a:lumMod val="105000"/>
                                  <a:satMod val="109000"/>
                                  <a:tint val="81000"/>
                                </a:srgbClr>
                              </a:gs>
                            </a:gsLst>
                            <a:lin ang="5400000" scaled="0"/>
                          </a:gradFill>
                          <a:ln w="6350" cap="flat" cmpd="sng" algn="ctr">
                            <a:solidFill>
                              <a:srgbClr val="B5121B"/>
                            </a:solidFill>
                            <a:prstDash val="solid"/>
                            <a:miter lim="800000"/>
                          </a:ln>
                          <a:effectLst/>
                        </wps:spPr>
                        <wps:txbx>
                          <w:txbxContent>
                            <w:p w14:paraId="5772415E" w14:textId="77777777" w:rsidR="00034AD2" w:rsidRPr="00933D43" w:rsidRDefault="00034AD2" w:rsidP="00853FA9">
                              <w:pPr>
                                <w:spacing w:after="0" w:line="240" w:lineRule="auto"/>
                                <w:jc w:val="center"/>
                                <w:rPr>
                                  <w:sz w:val="20"/>
                                </w:rPr>
                              </w:pPr>
                              <w:r w:rsidRPr="00933D43">
                                <w:rPr>
                                  <w:sz w:val="20"/>
                                </w:rPr>
                                <w:t>Postup podle zdroje OZE s podporou elektřiny z OZE a další podporou (kumulace podpor)</w:t>
                              </w:r>
                            </w:p>
                            <w:p w14:paraId="5542A0EB" w14:textId="77777777" w:rsidR="00034AD2" w:rsidRDefault="00034AD2" w:rsidP="007D78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Přímá spojnice se šipkou 71"/>
                        <wps:cNvCnPr/>
                        <wps:spPr>
                          <a:xfrm>
                            <a:off x="2447925" y="7591425"/>
                            <a:ext cx="21600" cy="238325"/>
                          </a:xfrm>
                          <a:prstGeom prst="straightConnector1">
                            <a:avLst/>
                          </a:prstGeom>
                          <a:noFill/>
                          <a:ln w="6350" cap="flat" cmpd="sng" algn="ctr">
                            <a:solidFill>
                              <a:srgbClr val="E31B23"/>
                            </a:solidFill>
                            <a:prstDash val="solid"/>
                            <a:miter lim="800000"/>
                            <a:tailEnd type="triangle"/>
                          </a:ln>
                          <a:effectLst/>
                        </wps:spPr>
                        <wps:bodyPr/>
                      </wps:wsp>
                      <wps:wsp>
                        <wps:cNvPr id="72" name="Přímá spojnice se šipkou 72"/>
                        <wps:cNvCnPr/>
                        <wps:spPr>
                          <a:xfrm flipH="1">
                            <a:off x="4962525" y="7829550"/>
                            <a:ext cx="1546590" cy="245050"/>
                          </a:xfrm>
                          <a:prstGeom prst="straightConnector1">
                            <a:avLst/>
                          </a:prstGeom>
                          <a:noFill/>
                          <a:ln w="6350" cap="flat" cmpd="sng" algn="ctr">
                            <a:solidFill>
                              <a:srgbClr val="E31B23"/>
                            </a:solidFill>
                            <a:prstDash val="solid"/>
                            <a:miter lim="800000"/>
                            <a:tailEnd type="triangle"/>
                          </a:ln>
                          <a:effectLst/>
                        </wps:spPr>
                        <wps:bodyPr/>
                      </wps:wsp>
                    </wpg:wgp>
                  </a:graphicData>
                </a:graphic>
              </wp:anchor>
            </w:drawing>
          </mc:Choice>
          <mc:Fallback>
            <w:pict>
              <v:group id="Skupina 5" o:spid="_x0000_s1026" style="position:absolute;margin-left:-1.7pt;margin-top:13.6pt;width:512.5pt;height:670pt;z-index:251653632" coordsize="65091,85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NgPCA4AAMqkAAAOAAAAZHJzL2Uyb0RvYy54bWzsXUuP28gRvgfIfyB0j4fdfInCjhd+bgI4&#10;u0a8wQK5cSRKok2RDMl5eP/JHn3MYX9Cchn4f+Wr7iYpSiQljcejsbYvM5L4blZ9VfVVdfV339+s&#10;YuMqzIsoTc5H7Ik5MsJkms6iZHE++ufPr/8yHhlFGSSzIE6T8Hz0MSxG3z/985++u84mIU+XaTwL&#10;cwMnSYrJdXY+WpZlNjk7K6bLcBUUT9IsTLBxnuaroMTXfHE2y4NrnH0Vn3HTdM+u03yW5ek0LAr8&#10;+lJuHD0V55/Pw2n503xehKURn49wb6X4m4u/F/T37Ol3wWSRB9kymqrbCO5wF6sgSnDR+lQvgzIw&#10;LvNo61SraJqnRTovn0zT1Vk6n0fTUDwDnoaZG0/zQ55eZuJZFpPrRVYPE4Z2Y5zufNrpj1dvcyOa&#10;nY+ckZEEK7yidx8usygJDIcG5zpbTLDPD3n2Lnubqx8W8hs97808X9F/PIlxI4b1Yz2s4U1pTPGj&#10;65hjz8HoT7Ft7Ji+aaqBny7xdraOmy5fNUf6jOHOqiOZLe7qrLrwGd1ffTvXGYSoaMap+LJxercM&#10;slAMf0FjoMaJVeP0ryC9iMPk9r9GejG7/U+c3P7+wWBy0MQB9YgVkwKD1zFczLXGFgbD2B407rm2&#10;56tBc9iYuWLM6icPJllelD+E6cqgD+cjyEoy+wcEXshhcPWmKPG6sH+1H12/SONo9jqKY/GFlCx8&#10;EefGVQD1CKbTMCktegAc1dozToxraDf36F6nAfR0HgclPq4ySE6RLEZGEC8AANMyF5dvHV3ki4v6&#10;Ks/9V+ZrT+60DGahvLYDkaieT+2+fRf0IC+DYikPEZegmw0mq6gEiMTRCuJFJ6rOFCe0NRQwoIaD&#10;RES+DPpU3lzcCJkuJhfp7CPecJ5KiCiy6esI13sTFOXbIAcm4MmBc+VP+DOPUwxHqj6NjGWa/9r1&#10;O+0PEcTWkXENjMFQ/fsyyMOREf8tgXD6zLZx2lJ8sR2P40u+vuVifUtyuXqR4j1BAHF34iPtX8bV&#10;x3mern4BHD6jq2JTkExxbflS1JcXpcQ+AOo0fPZM7AYgyoLyTfIum9LJachopH+++SXIMyVcJXT5&#10;x7RSiGCyIV5yXzoySZ9dluk8ErJHQyzHFS9TKSdBygNoqWcPqik2q/cOxd6tp9z0XMvCKaGn3piZ&#10;licFr0I4brqOY/kSp5yx7wOzpBpV+Fgp4SHKCrMkdJWE8peoXIrhr17RooBE04gvCiNLIUym1Kl1&#10;XXtlsefcEr/Hl6u/pzOpOYxVOgI1D8rmd5PUUD5ZGSWl3NuF0lcKta6ai2L96lKB6ZeWtvfdwdqV&#10;2ncANNy6A6/6kWBJPp8Ah/YdiIc6YBB6b6ExT80g4J33DgLuqn4ZcZRA02CfHRsH4BCjmAZxCJCs&#10;hrB6qTRUElZdS9jGL0JVNc5S5gQyViD/dUBTeAy1rdPYeVLYaQ1Cp3AQCMP3Qk6bux7zgYwKOSHq&#10;EFIYZeXhcYYdHI2cGjn/SMjJSQka70h7nafidQ5Dp3cYdsJ76EFN5nu+T6EDxcWeZ8LZ0P4mxbDa&#10;3zxhf7PWHu1vnpS/6QHIJPX49vNvt7+vbj+B4EjfJ6BGjSI0Pn+Ksg/ppYHdlNWE5/kiUWxkRedI&#10;RtCYx1H21ypGVqSkzy2fg0QEVjrMpmir5YL6zLfHCku56yKUH8bSosyDaLEsX6RJArotzSVnskGJ&#10;EDNHTl2SUiQmLvj4wr1gUgZR/CqZGeXHDNRvmUeIXuNQDcBO/kwqIh7ugdkd191LYrDb3SSGj8eu&#10;6fWLjOOxis/WEvNNSIy3l8AIWk/Ftj0IQzqtcMUGmFgDUsKQ9kCOSnpp3PHpM+lKlbxoqHnFCmpk&#10;EWmSJjB6eGRBulKaos7szngNT3azxszmyHsJu8OQyqHkCR6o4T7Y2OZw3hVr7DILHv2gfOyV4qkI&#10;xjuzxsx67rx6dkzWuO8OeinbiiCGPat56y9jjQ++hW+RNVYPKWXuoVjjOvOivfjT8uKBdPt48cK7&#10;Hrax3V48fC5yuuDF4wN3gKwtNEX+lCkemSMFJ718bWspyySMTn8W/FhePOOVxHQaW2zGC1aSstva&#10;coiErcI8hiQt2xQQ5jtjMrGymATW1toR6O1lbluw2ZX77EDXeyynWCO8ikdRTqFqidSb0xh/UhjP&#10;hvltbD5EY6GAvCJmGAp3oMFtSNca2y7D+oq5/Jop0Rp7Whpb10ENcqus9sr7udU15sMyfcetbK3N&#10;/C3NXXPGLN/xnR2WVhMfRyc+qMp2D/ddFrYNu+9rguKQl1UJiuWhiHWDA3FdlH9Il8y2UN2rBYVM&#10;IMKWx+u178e9s9qi7IcotufWiNIlKMxxx/64EhVAzi7vXWPK8TFlP9ad7UG7d1ICFudjv2JYO4Vm&#10;zE27ytTYJnI1Gl8ePb4MU/DsMA7edm3IgKSNOFgBMMUbMYaDWhpNwm8Xjx/MgGsSHn7M4RNijkLC&#10;14irw73TCvfAgO/jxfsEgsNefKfFdeCjE7VOLDx3LAtT+9pwuhb4cRtlNTsymtpJO7qTxocnNGJz&#10;Iyq7WXhVGUPi0WltPWZRDCg4eOfRpLyfO4yz58dMeffdwQOmvA++hW8x5a0eUsbYrdzNVyRXa5dV&#10;W9uTsrZ8OIGJzYdAJ00yFcEqgScs51ahKkW7Gjw7pngejFz3H6ocfAsaPKkSrr8ogabmi1xy7apq&#10;8Dwt8KxzyYOZKcxfb0C0pya3M1Rh6JmBWdsyVLHRS2Mru2x63Kmai1gOlWjSpXTJ0CNOPvD90pnY&#10;bafQrGWpLMvE60duYZ+o1kWjBy0oSlMebZaK11mqztoybG4EZHdUy3zEYUI8LI+jaLujToWmYFaV&#10;ZSrL2Y8kurLsDo16ZM8JoXrEXGl34LTcgTpX2K2wNWO9V9sJDuNPRSmE6L0qWxeDUnOXnVSl1tk7&#10;62xNIWqdPS2drVO1wy58zX/1l4J0uvBj24OLLpXYcrm16cGvJRssC125tFv26N2y/fJTvA76+yVm&#10;3X/nFtpKKgdtl6C4Yk6mDvQed5UZdHloIqZU9b3nhjT+uz12POpFivffTMTkKDxsiFXfQ4pKKdKX&#10;tO9rZRdaM0NUD0wpg63d7nFmyKNrtCn995oT177ASfkC1nAaGZsPCbipbVxVtmVzn3S2rbLoKQca&#10;RoXctgvvXavs/ffGlSpbM7BaZU9LZev05aD7btWQvZczJpoaS18MVpXbm5rreLWpRZuVnXqrK4SO&#10;XiFEjY8HmmJg82HQLuGcqBnbtzA9aMMbYz4odgr7qLkdOp/fT3O7lpulvTGZW22mfWloPy1oh/oM&#10;qazwpvYOn2yLi7ZppLIOGp1Ta6xWANVSWdsnd4x2+GoJkD9yAFW/Oq2yp6WywxlL67CMpY2JlyIl&#10;CZV1mcdV77GG89Aq+2Bz65upkFplT0tl6/xHZ87SWs977C4ysG3kIWFZycq6ns+20h0MoZWPaa/K&#10;Ma463GgrK5YvEg6+dEu+aD0gyXnU6WatsielstT/acAxlh0YD3CMGyvrQX2pfLvfMbZklkE7xve9&#10;hJdU2RpttcqelsrWsewgTSlXBlSq21MovJ4zXqv5RO8JTvnjlup6LhrXqAQDw+KMmPc4HNNqpvLo&#10;TKVdlxd0OmTYjFe8P7qbWLtIOWRjE6UomyLSjqEs9JHfISIdNWQkkouZsknB7P3ImK9iLDcIn8Zg&#10;NN1WCZ1oLy8olWopOXHkly4R1zdvhUrilEK0F2i79yXi+u5Az3ykF3x/awaocZbeR4sN/4ozH9GR&#10;VWmcNsonZZSdOt3/JryiBTvi9PP/sBjuJ+PX209Xaf4B6wcfmPJf66Zvc+7T3J2WQQaLRbyyiH7R&#10;VMxDYkhhY0+VThzOy+d5MKU1fLeWLP0m1udAaL/nDAu9hJh4yQRl3/bCtU6TlM+DPs1az8jvJpZc&#10;OC5UQCMyrhxNVTfTN5bJHLguUrNcWpR4h2bltP6NVi1aZFmvCS0XSd8C2Me3JrQzPMUEmw+JDqyx&#10;6SNlQylR1JRSF8uWteI2NvtQZqpiQJkDiKJha9URG+CEsADa3688gfta3OPgkENP1qdq6T0m63Nh&#10;OCjC1v7+afn7daprkIRzahJ2v1pBrKuuHBMH3cK2mjOuT/Dx0S1qh1uiGbijM3C0lPdAfgWbD7Gx&#10;TTcxD9Hh1rwNcLJNMantfvU5nH/gsqOmDZwG9pMCdkx1Ugo7COxyRtRwdqVzDqfroPhIxp4u0ixb&#10;OrwO8WOUKe1g0DXEHx3i3bpxT2eSBZsPgXjm2aKelAIpDfLNdAhVoi4iwIdi65uGdRrkTwvk6xkc&#10;wyC/PpNjdwqduRZ6qyMwUAVr3BTeXVNj6mIPFD9KXhEV5L7Y3l+vpsH9+OA+zJG5h3Fkayvgeuhd&#10;ubVMECI6mrpfMc9VzrlfQjRJ1pOW1x0tIUSHN98/SlK8aWmozexpmdn9SDJ3kySj9HSYzF7cJKKS&#10;ESCL/zfnSC9RBmAt6JLFS4WwEs0q8mo5ekRabCytsef4jCM7gcMba4zO6+Oqetwy0RBzR0JCW+Pj&#10;W+NhNs09jE2rlk0WodYYXRU2q5XRYBr7KHPs2qZ3h3o2klids9Lm+Bsyx3XUo83xSZljr65RG4x6&#10;sVtDWO2OerGsjeglLVAUdpbWHG/ZWS5WuRRBL4IbNYurP6TRZvboZtZraq4+/3b7+4rqGbP0fRJN&#10;Q6MIjc+fouxDemlgt52C0smBY0Y8r1ZB9boML8qv3HqyAccsImmZtdDsXf9Ibgc5ytdFJj4tJtcL&#10;+oTi+jzIltH0ZVAG69/FXpOQp8s0noX50/8DAAD//wMAUEsDBBQABgAIAAAAIQC6r7Ot4QAAAAsB&#10;AAAPAAAAZHJzL2Rvd25yZXYueG1sTI9PS8NAEMXvgt9hGcFbu/mjUWI2pRT1VARbQbxNs9MkNLsb&#10;stsk/fZOT3qbmfd483vFajadGGnwrbMK4mUEgmzldGtrBV/7t8UzCB/QauycJQUX8rAqb28KzLWb&#10;7CeNu1ALDrE+RwVNCH0upa8aMuiXrifL2tENBgOvQy31gBOHm04mUZRJg63lDw32tGmoOu3ORsH7&#10;hNM6jV/H7em4ufzsHz++tzEpdX83r19ABJrDnxmu+IwOJTMd3NlqLzoFi/SBnQqSpwTEVY+SOANx&#10;4CnN+CbLQv7vUP4CAAD//wMAUEsBAi0AFAAGAAgAAAAhALaDOJL+AAAA4QEAABMAAAAAAAAAAAAA&#10;AAAAAAAAAFtDb250ZW50X1R5cGVzXS54bWxQSwECLQAUAAYACAAAACEAOP0h/9YAAACUAQAACwAA&#10;AAAAAAAAAAAAAAAvAQAAX3JlbHMvLnJlbHNQSwECLQAUAAYACAAAACEAuYTYDwgOAADKpAAADgAA&#10;AAAAAAAAAAAAAAAuAgAAZHJzL2Uyb0RvYy54bWxQSwECLQAUAAYACAAAACEAuq+zreEAAAALAQAA&#10;DwAAAAAAAAAAAAAAAABiEAAAZHJzL2Rvd25yZXYueG1sUEsFBgAAAAAEAAQA8wAAAHARAAAAAA==&#10;">
                <v:roundrect id="Zaoblený obdélník 1" o:spid="_x0000_s1027" style="position:absolute;left:16383;width:27647;height:518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Dk6sEA&#10;AADaAAAADwAAAGRycy9kb3ducmV2LnhtbERPTWuDQBC9B/Iflgn0FtdEKMW6CaUk0EJ7qPGS2+BO&#10;VOrOirsa66/vCoWehsf7nOw4mVaM1LvGsoJdFIMgLq1uuFJQXM7bJxDOI2tsLZOCH3JwPKxXGaba&#10;3vmLxtxXIoSwS1FB7X2XSunKmgy6yHbEgbvZ3qAPsK+k7vEewk0r93H8KA02HBpq7Oi1pvI7H4yC&#10;6+k9Hz6mcZbmc5iLtkvKW5Io9bCZXp5BeJr8v/jP/abDfFheWa48/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A5OrBAAAA2gAAAA8AAAAAAAAAAAAAAAAAmAIAAGRycy9kb3du&#10;cmV2LnhtbFBLBQYAAAAABAAEAPUAAACGAwAAAAA=&#10;" fillcolor="#9bbb59 [3206]" strokecolor="#87a4b6" strokeweight="1pt">
                  <v:stroke joinstyle="miter"/>
                  <v:textbox>
                    <w:txbxContent>
                      <w:p w14:paraId="660AC957" w14:textId="77777777" w:rsidR="00034AD2" w:rsidRPr="001929F6" w:rsidRDefault="00034AD2" w:rsidP="00853FA9">
                        <w:pPr>
                          <w:spacing w:after="0" w:line="240" w:lineRule="auto"/>
                          <w:jc w:val="center"/>
                          <w:rPr>
                            <w:b/>
                          </w:rPr>
                        </w:pPr>
                        <w:r w:rsidRPr="001929F6">
                          <w:rPr>
                            <w:b/>
                          </w:rPr>
                          <w:t>Identifikace počtu všech registrovaných zdrojů OZE pobírající podporu</w:t>
                        </w:r>
                      </w:p>
                    </w:txbxContent>
                  </v:textbox>
                </v:roundrect>
                <v:roundrect id="Zaoblený obdélník 74" o:spid="_x0000_s1028" style="position:absolute;left:20763;top:7810;width:20655;height:589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NnacYA&#10;AADbAAAADwAAAGRycy9kb3ducmV2LnhtbESPzWrDMBCE74G+g9hCLqGRU0wS3MimCRTyc6nTQntc&#10;rK1taq2Mpdju21eBQI7DzHzDbLLRNKKnztWWFSzmEQjiwuqaSwWfH29PaxDOI2tsLJOCP3KQpQ+T&#10;DSbaDpxTf/alCBB2CSqovG8TKV1RkUE3ty1x8H5sZ9AH2ZVSdzgEuGnkcxQtpcGaw0KFLe0qKn7P&#10;F6Ogrw8neYjz73gwX+v343a2m60uSk0fx9cXEJ5Gfw/f2nutYBXD9Uv4ATL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hNnacYAAADbAAAADwAAAAAAAAAAAAAAAACYAgAAZHJz&#10;L2Rvd25yZXYueG1sUEsFBgAAAAAEAAQA9QAAAIsDAAAAAA==&#10;" fillcolor="#f29fa0" strokecolor="#e31b23" strokeweight=".5pt">
                  <v:fill color2="#f17c7d" rotate="t" colors="0 #f29fa0;.5 #ef9192;1 #f17c7d" focus="100%" type="gradient">
                    <o:fill v:ext="view" type="gradientUnscaled"/>
                  </v:fill>
                  <v:stroke joinstyle="miter"/>
                  <v:textbox>
                    <w:txbxContent>
                      <w:p w14:paraId="54435D3B" w14:textId="21FF9888" w:rsidR="00034AD2" w:rsidRPr="00933D43" w:rsidRDefault="00034AD2" w:rsidP="00853FA9">
                        <w:pPr>
                          <w:spacing w:after="0" w:line="240" w:lineRule="auto"/>
                          <w:jc w:val="center"/>
                          <w:rPr>
                            <w:sz w:val="20"/>
                          </w:rPr>
                        </w:pPr>
                        <w:r w:rsidRPr="00933D43">
                          <w:rPr>
                            <w:sz w:val="20"/>
                          </w:rPr>
                          <w:t xml:space="preserve">Identifikace zdrojů  OZE spadajících do </w:t>
                        </w:r>
                        <w:r>
                          <w:rPr>
                            <w:sz w:val="20"/>
                          </w:rPr>
                          <w:t>rozhodnutí</w:t>
                        </w:r>
                        <w:r w:rsidRPr="00933D43">
                          <w:rPr>
                            <w:sz w:val="20"/>
                          </w:rPr>
                          <w:t xml:space="preserve"> SA. 40171 </w:t>
                        </w:r>
                      </w:p>
                    </w:txbxContent>
                  </v:textbox>
                </v:roundrect>
                <v:roundrect id="Zaoblený obdélník 3" o:spid="_x0000_s1029" style="position:absolute;left:42671;top:7810;width:21268;height:589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Zi4cUA&#10;AADaAAAADwAAAGRycy9kb3ducmV2LnhtbESPT2vCQBTE74LfYXmCF2k2tWIlZhUrFGq9+A/a4yP7&#10;TILZtyG7Jum37xYKHoeZ+Q2TrntTiZYaV1pW8BzFIIgzq0vOFVzO708LEM4ja6wsk4IfcrBeDQcp&#10;Jtp2fKT25HMRIOwSVFB4XydSuqwggy6yNXHwrrYx6INscqkb7ALcVHIax3NpsOSwUGBN24Ky2+lu&#10;FLTlbi93s+P3rDNfi8Pn22Q7eb0rNR71myUIT71/hP/bH1rBC/xdCT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dmLhxQAAANoAAAAPAAAAAAAAAAAAAAAAAJgCAABkcnMv&#10;ZG93bnJldi54bWxQSwUGAAAAAAQABAD1AAAAigMAAAAA&#10;" fillcolor="#f29fa0" strokecolor="#e31b23" strokeweight=".5pt">
                  <v:fill color2="#f17c7d" rotate="t" colors="0 #f29fa0;.5 #ef9192;1 #f17c7d" focus="100%" type="gradient">
                    <o:fill v:ext="view" type="gradientUnscaled"/>
                  </v:fill>
                  <v:stroke joinstyle="miter"/>
                  <v:textbox>
                    <w:txbxContent>
                      <w:p w14:paraId="535C0A32" w14:textId="70A8F736" w:rsidR="00034AD2" w:rsidRPr="00933D43" w:rsidRDefault="00034AD2" w:rsidP="00853FA9">
                        <w:pPr>
                          <w:spacing w:after="0" w:line="240" w:lineRule="auto"/>
                          <w:jc w:val="center"/>
                          <w:rPr>
                            <w:sz w:val="20"/>
                          </w:rPr>
                        </w:pPr>
                        <w:r w:rsidRPr="00933D43">
                          <w:rPr>
                            <w:sz w:val="20"/>
                          </w:rPr>
                          <w:t xml:space="preserve">Identifikace zdrojů  OZE spadajících do </w:t>
                        </w:r>
                        <w:r>
                          <w:rPr>
                            <w:sz w:val="20"/>
                          </w:rPr>
                          <w:t>rozhodnutí</w:t>
                        </w:r>
                        <w:r w:rsidRPr="00933D43">
                          <w:rPr>
                            <w:sz w:val="20"/>
                          </w:rPr>
                          <w:t xml:space="preserve"> SA. 35177 </w:t>
                        </w:r>
                      </w:p>
                    </w:txbxContent>
                  </v:textbox>
                </v:roundrect>
                <v:roundrect id="Zaoblený obdélník 73" o:spid="_x0000_s1030" style="position:absolute;top:7810;width:19799;height:770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r/HcUA&#10;AADbAAAADwAAAGRycy9kb3ducmV2LnhtbESPQWvCQBSE74X+h+UVepG6sUqV6CpVKFS9GBX0+Mg+&#10;k9Ds25Bdk/jvXUHocZiZb5jZojOlaKh2hWUFg34Egji1uuBMwfHw8zEB4TyyxtIyKbiRg8X89WWG&#10;sbYtJ9TsfSYChF2MCnLvq1hKl+Zk0PVtRRy8i60N+iDrTOoa2wA3pfyMoi9psOCwkGNFq5zSv/3V&#10;KGiK9VauR8l51JrTZLdZ9la98VWp97fuewrCU+f/w8/2r1YwHsLjS/gB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v8dxQAAANsAAAAPAAAAAAAAAAAAAAAAAJgCAABkcnMv&#10;ZG93bnJldi54bWxQSwUGAAAAAAQABAD1AAAAigMAAAAA&#10;" fillcolor="#f29fa0" strokecolor="#e31b23" strokeweight=".5pt">
                  <v:fill color2="#f17c7d" rotate="t" colors="0 #f29fa0;.5 #ef9192;1 #f17c7d" focus="100%" type="gradient">
                    <o:fill v:ext="view" type="gradientUnscaled"/>
                  </v:fill>
                  <v:stroke joinstyle="miter"/>
                  <v:textbox>
                    <w:txbxContent>
                      <w:p w14:paraId="5736AD88" w14:textId="32341516" w:rsidR="00034AD2" w:rsidRPr="00933D43" w:rsidRDefault="00034AD2" w:rsidP="00853FA9">
                        <w:pPr>
                          <w:spacing w:after="0" w:line="240" w:lineRule="auto"/>
                          <w:jc w:val="center"/>
                          <w:rPr>
                            <w:sz w:val="20"/>
                          </w:rPr>
                        </w:pPr>
                        <w:r w:rsidRPr="00933D43">
                          <w:rPr>
                            <w:sz w:val="20"/>
                          </w:rPr>
                          <w:t xml:space="preserve">Ostatní  zdroje  OZE nespadajících do </w:t>
                        </w:r>
                        <w:r>
                          <w:rPr>
                            <w:sz w:val="20"/>
                          </w:rPr>
                          <w:t>rozhodnutí</w:t>
                        </w:r>
                        <w:r w:rsidRPr="00933D43">
                          <w:rPr>
                            <w:sz w:val="20"/>
                          </w:rPr>
                          <w:t xml:space="preserve"> </w:t>
                        </w:r>
                      </w:p>
                      <w:p w14:paraId="67AC2F11" w14:textId="77777777" w:rsidR="00034AD2" w:rsidRPr="00933D43" w:rsidRDefault="00034AD2" w:rsidP="00853FA9">
                        <w:pPr>
                          <w:spacing w:after="0" w:line="240" w:lineRule="auto"/>
                          <w:jc w:val="center"/>
                          <w:rPr>
                            <w:sz w:val="20"/>
                          </w:rPr>
                        </w:pPr>
                        <w:r w:rsidRPr="00933D43">
                          <w:rPr>
                            <w:sz w:val="20"/>
                          </w:rPr>
                          <w:t xml:space="preserve">SA. 40171 a SA. 35177 </w:t>
                        </w:r>
                      </w:p>
                    </w:txbxContent>
                  </v:textbox>
                </v:roundrect>
                <v:shapetype id="_x0000_t32" coordsize="21600,21600" o:spt="32" o:oned="t" path="m,l21600,21600e" filled="f">
                  <v:path arrowok="t" fillok="f" o:connecttype="none"/>
                  <o:lock v:ext="edit" shapetype="t"/>
                </v:shapetype>
                <v:shape id="Přímá spojnice se šipkou 70" o:spid="_x0000_s1031" type="#_x0000_t32" style="position:absolute;left:9239;top:5143;width:9195;height:266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wr37wAAADbAAAADwAAAGRycy9kb3ducmV2LnhtbERPSwrCMBDdC94hjODOpgp+qEYRRRBx&#10;4+cAQzO2pc2kNKmttzcLweXj/Te73lTiTY0rLCuYRjEI4tTqgjMFz8dpsgLhPLLGyjIp+JCD3XY4&#10;2GCibcc3et99JkIIuwQV5N7XiZQuzcmgi2xNHLiXbQz6AJtM6ga7EG4qOYvjhTRYcGjIsaZDTml5&#10;b42C46G9teg/i8u8zMq6p+v02KVKjUf9fg3CU+//4p/7rBUsw/rwJfwAuf0C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gpwr37wAAADbAAAADwAAAAAAAAAAAAAAAAChAgAA&#10;ZHJzL2Rvd25yZXYueG1sUEsFBgAAAAAEAAQA+QAAAIoDAAAAAA==&#10;" strokecolor="#e31b23" strokeweight=".5pt">
                  <v:stroke endarrow="block" joinstyle="miter"/>
                </v:shape>
                <v:shape id="Přímá spojnice se šipkou 66" o:spid="_x0000_s1032" type="#_x0000_t32" style="position:absolute;left:28860;top:5143;width:572;height:266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A7b4AAADbAAAADwAAAGRycy9kb3ducmV2LnhtbESPzQrCMBCE74LvEFbwpqmCRapRRBFE&#10;vPjzAEuztqXNpjSprW9vBMHjMDPfMOttbyrxosYVlhXMphEI4tTqgjMFj/txsgThPLLGyjIpeJOD&#10;7WY4WGOibcdXet18JgKEXYIKcu/rREqX5mTQTW1NHLynbQz6IJtM6ga7ADeVnEdRLA0WHBZyrGmf&#10;U1reWqPgsG+vLfp3fF6UWVn3dJkdulSp8ajfrUB46v0//GuftII4hu+X8APk5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n4IDtvgAAANsAAAAPAAAAAAAAAAAAAAAAAKEC&#10;AABkcnMvZG93bnJldi54bWxQSwUGAAAAAAQABAD5AAAAjAMAAAAA&#10;" strokecolor="#e31b23" strokeweight=".5pt">
                  <v:stroke endarrow="block" joinstyle="miter"/>
                </v:shape>
                <v:shape id="Přímá spojnice se šipkou 7" o:spid="_x0000_s1033" type="#_x0000_t32" style="position:absolute;left:41433;top:5143;width:10872;height:25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7PucUAAADaAAAADwAAAGRycy9kb3ducmV2LnhtbESPQWvCQBSE74X+h+UVequbekgluopI&#10;Kz1YRCPq8Zl9ZkOzb0N2G1N/vSsUehxm5htmMuttLTpqfeVYwesgAUFcOF1xqWCXf7yMQPiArLF2&#10;TAp+ycNs+vgwwUy7C2+o24ZSRAj7DBWYEJpMSl8YsugHriGO3tm1FkOUbSl1i5cIt7UcJkkqLVYc&#10;Fww2tDBUfG9/rAK73Ky/rvtTvrjmB8PH97RbrVKlnp/6+RhEoD78h//an1rBG9yvxBsgp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O7PucUAAADaAAAADwAAAAAAAAAA&#10;AAAAAAChAgAAZHJzL2Rvd25yZXYueG1sUEsFBgAAAAAEAAQA+QAAAJMDAAAAAA==&#10;" strokecolor="#e31b23" strokeweight=".5pt">
                  <v:stroke endarrow="block" joinstyle="miter"/>
                </v:shape>
                <v:roundrect id="Zaoblený obdélník 8" o:spid="_x0000_s1034" style="position:absolute;left:1428;top:17907;width:18428;height:561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qgab4A&#10;AADaAAAADwAAAGRycy9kb3ducmV2LnhtbERPy4rCMBTdD/gP4QpuBpvqgEg1iiiii9n42HR3ba5t&#10;sbkpTVrr35uF4PJw3st1byrRUeNKywomUQyCOLO65FzB9bIfz0E4j6yxskwKXuRgvRr8LDHR9skn&#10;6s4+FyGEXYIKCu/rREqXFWTQRbYmDtzdNgZ9gE0udYPPEG4qOY3jmTRYcmgosKZtQdnj3BoFB8Rt&#10;Su3v47Db/LW20+n/bZcqNRr2mwUIT73/ij/uo1YQtoYr4Qb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aoGm+AAAA2gAAAA8AAAAAAAAAAAAAAAAAmAIAAGRycy9kb3ducmV2&#10;LnhtbFBLBQYAAAAABAAEAPUAAACDAwAAAAA=&#10;" fillcolor="#9ed7f7" strokecolor="#13b5ea" strokeweight=".5pt">
                  <v:fill color2="#7acdf8" rotate="t" colors="0 #9ed7f7;.5 #90d0f4;1 #7acdf8" focus="100%" type="gradient">
                    <o:fill v:ext="view" type="gradientUnscaled"/>
                  </v:fill>
                  <v:stroke joinstyle="miter"/>
                  <v:textbox>
                    <w:txbxContent>
                      <w:p w14:paraId="4EC858FC" w14:textId="77777777" w:rsidR="00034AD2" w:rsidRPr="00933D43" w:rsidRDefault="00034AD2" w:rsidP="00853FA9">
                        <w:pPr>
                          <w:spacing w:after="0" w:line="240" w:lineRule="auto"/>
                          <w:jc w:val="center"/>
                          <w:rPr>
                            <w:sz w:val="20"/>
                          </w:rPr>
                        </w:pPr>
                        <w:r w:rsidRPr="00933D43">
                          <w:rPr>
                            <w:sz w:val="20"/>
                          </w:rPr>
                          <w:t>Zdroje OZE nespadající do kontrolního mechanismu</w:t>
                        </w:r>
                      </w:p>
                    </w:txbxContent>
                  </v:textbox>
                </v:roundrect>
                <v:shape id="Přímá spojnice se šipkou 75" o:spid="_x0000_s1035" type="#_x0000_t32" style="position:absolute;left:9715;top:15525;width:457;height:25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uIR78AAADbAAAADwAAAGRycy9kb3ducmV2LnhtbESPzQrCMBCE74LvEFbwpqmCP1SjiCKI&#10;ePHnAZZmbUubTWlSW9/eCILHYWa+YdbbzpTiRbXLLSuYjCMQxInVOacKHvfjaAnCeWSNpWVS8CYH&#10;202/t8ZY25av9Lr5VAQIuxgVZN5XsZQuycigG9uKOHhPWxv0Qdap1DW2AW5KOY2iuTSYc1jIsKJ9&#10;Rklxa4yCw765Nujf8/OsSIuqo8vk0CZKDQfdbgXCU+f/4V/7pBUsZvD9En6A3Hw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uuIR78AAADbAAAADwAAAAAAAAAAAAAAAACh&#10;AgAAZHJzL2Rvd25yZXYueG1sUEsFBgAAAAAEAAQA+QAAAI0DAAAAAA==&#10;" strokecolor="#e31b23" strokeweight=".5pt">
                  <v:stroke endarrow="block" joinstyle="miter"/>
                </v:shape>
                <v:roundrect id="Zaoblený obdélník 12" o:spid="_x0000_s1036" style="position:absolute;left:22574;top:17811;width:19583;height:813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Cuj8AA&#10;AADbAAAADwAAAGRycy9kb3ducmV2LnhtbERPzWrCQBC+F3yHZQRvdWMOUlLXUIQE8aRJH2DIjkkw&#10;Oxuya3769F2h0Nt8fL9zSGfTiZEG11pWsNtGIIgrq1uuFXyX2fsHCOeRNXaWScFCDtLj6u2AibYT&#10;32gsfC1CCLsEFTTe94mUrmrIoNvanjhwdzsY9AEOtdQDTiHcdDKOor002HJoaLCnU0PVo3gaBe3P&#10;/frIo6Wcssulr8d9nsVzrtRmPX99gvA0+3/xn/usw/wYXr+EA+Tx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QCuj8AAAADbAAAADwAAAAAAAAAAAAAAAACYAgAAZHJzL2Rvd25y&#10;ZXYueG1sUEsFBgAAAAAEAAQA9QAAAIUDAAAAAA==&#10;" fillcolor="#e31b23" strokecolor="#a71117" strokeweight="1pt">
                  <v:stroke joinstyle="miter"/>
                  <v:textbox>
                    <w:txbxContent>
                      <w:p w14:paraId="2FAE2AB7" w14:textId="1D613246" w:rsidR="00034AD2" w:rsidRPr="00933D43" w:rsidRDefault="00034AD2" w:rsidP="00853FA9">
                        <w:pPr>
                          <w:spacing w:after="0" w:line="240" w:lineRule="auto"/>
                          <w:jc w:val="center"/>
                          <w:rPr>
                            <w:sz w:val="20"/>
                          </w:rPr>
                        </w:pPr>
                        <w:r w:rsidRPr="00933D43">
                          <w:rPr>
                            <w:sz w:val="20"/>
                          </w:rPr>
                          <w:t>Zdroje OZE s podporou nad de minim (podpora elektřiny z OZE nebo kumulace</w:t>
                        </w:r>
                        <w:r>
                          <w:rPr>
                            <w:sz w:val="20"/>
                          </w:rPr>
                          <w:t xml:space="preserve"> podpor</w:t>
                        </w:r>
                        <w:r w:rsidRPr="00933D43">
                          <w:rPr>
                            <w:sz w:val="20"/>
                          </w:rPr>
                          <w:t>)</w:t>
                        </w:r>
                      </w:p>
                    </w:txbxContent>
                  </v:textbox>
                </v:roundrect>
                <v:roundrect id="Zaoblený obdélník 13" o:spid="_x0000_s1037" style="position:absolute;left:43529;top:18002;width:19583;height:81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wLFMEA&#10;AADbAAAADwAAAGRycy9kb3ducmV2LnhtbERP22rCQBB9L/gPywh9qxsthBJdRYQEyZONfsCQHZNg&#10;djZk11z69V2h0Lc5nOvsDpNpxUC9aywrWK8iEMSl1Q1XCm7X9OMLhPPIGlvLpGAmB4f94m2HibYj&#10;f9NQ+EqEEHYJKqi97xIpXVmTQbeyHXHg7rY36APsK6l7HEO4aeUmimJpsOHQUGNHp5rKR/E0Cpqf&#10;++WRRfN1TPO8q4Y4SzdTptT7cjpuQXia/L/4z33WYf4nvH4JB8j9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5MCxTBAAAA2wAAAA8AAAAAAAAAAAAAAAAAmAIAAGRycy9kb3du&#10;cmV2LnhtbFBLBQYAAAAABAAEAPUAAACGAwAAAAA=&#10;" fillcolor="#e31b23" strokecolor="#a71117" strokeweight="1pt">
                  <v:stroke joinstyle="miter"/>
                  <v:textbox>
                    <w:txbxContent>
                      <w:p w14:paraId="39FA379F" w14:textId="34D25DE7" w:rsidR="00034AD2" w:rsidRDefault="00034AD2" w:rsidP="00853FA9">
                        <w:pPr>
                          <w:spacing w:after="0" w:line="240" w:lineRule="auto"/>
                          <w:jc w:val="center"/>
                        </w:pPr>
                        <w:r w:rsidRPr="00933D43">
                          <w:rPr>
                            <w:sz w:val="20"/>
                          </w:rPr>
                          <w:t>Zdroje OZE s podporou pod de minim (podpora elektřiny z OZE nebo kumulace</w:t>
                        </w:r>
                        <w:r>
                          <w:rPr>
                            <w:sz w:val="20"/>
                          </w:rPr>
                          <w:t xml:space="preserve"> podpor</w:t>
                        </w:r>
                        <w:r w:rsidRPr="00933D43">
                          <w:rPr>
                            <w:sz w:val="20"/>
                          </w:rPr>
                          <w:t>)</w:t>
                        </w:r>
                      </w:p>
                    </w:txbxContent>
                  </v:textbox>
                </v:roundrect>
                <v:shape id="Přímá spojnice se šipkou 14" o:spid="_x0000_s1038" type="#_x0000_t32" style="position:absolute;left:30956;top:14192;width:457;height:39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Gyp8MAAADbAAAADwAAAGRycy9kb3ducmV2LnhtbERPTWvCQBC9F/oflil4q5tKCRJdRaSV&#10;HixFI+pxzI7Z0OxsyK4x9de7hUJv83ifM533thYdtb5yrOBlmIAgLpyuuFSwy9+fxyB8QNZYOyYF&#10;P+RhPnt8mGKm3ZU31G1DKWII+wwVmBCaTEpfGLLoh64hjtzZtRZDhG0pdYvXGG5rOUqSVFqsODYY&#10;bGhpqPjeXqwCu9p8fd72p3x5yw+Gj29pt16nSg2e+sUERKA+/Iv/3B86zn+F31/iAXJ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thsqfDAAAA2wAAAA8AAAAAAAAAAAAA&#10;AAAAoQIAAGRycy9kb3ducmV2LnhtbFBLBQYAAAAABAAEAPkAAACRAwAAAAA=&#10;" strokecolor="#e31b23" strokeweight=".5pt">
                  <v:stroke endarrow="block" joinstyle="miter"/>
                </v:shape>
                <v:shape id="Přímá spojnice se šipkou 15" o:spid="_x0000_s1039" type="#_x0000_t32" style="position:absolute;left:53435;top:13716;width:667;height:43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0XPMMAAADbAAAADwAAAGRycy9kb3ducmV2LnhtbERPTWvCQBC9F/oflil4q5sKDRJdRaSV&#10;HixFI+pxzI7Z0OxsyK4x9de7hUJv83ifM533thYdtb5yrOBlmIAgLpyuuFSwy9+fxyB8QNZYOyYF&#10;P+RhPnt8mGKm3ZU31G1DKWII+wwVmBCaTEpfGLLoh64hjtzZtRZDhG0pdYvXGG5rOUqSVFqsODYY&#10;bGhpqPjeXqwCu9p8fd72p3x5yw+Gj29pt16nSg2e+sUERKA+/Iv/3B86zn+F31/iAXJ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QtFzzDAAAA2wAAAA8AAAAAAAAAAAAA&#10;AAAAoQIAAGRycy9kb3ducmV2LnhtbFBLBQYAAAAABAAEAPkAAACRAwAAAAA=&#10;" strokecolor="#e31b23" strokeweight=".5pt">
                  <v:stroke endarrow="block" joinstyle="miter"/>
                </v:shape>
                <v:shape id="Přímá spojnice se šipkou 16" o:spid="_x0000_s1040" type="#_x0000_t32" style="position:absolute;left:34766;top:13716;width:15690;height:41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JS8MAAADbAAAADwAAAGRycy9kb3ducmV2LnhtbERPTWvCQBC9F/oflhG81Y09hBJdRaQt&#10;HpSiEfU4ZsdsaHY2ZNeY+uu7hYK3ebzPmc57W4uOWl85VjAeJSCIC6crLhXs84+XNxA+IGusHZOC&#10;H/Iwnz0/TTHT7sZb6nahFDGEfYYKTAhNJqUvDFn0I9cQR+7iWoshwraUusVbDLe1fE2SVFqsODYY&#10;bGhpqPjeXa0C+7n92twP53x5z4+GT+9pt16nSg0H/WICIlAfHuJ/90rH+Sn8/RIPkL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T/iUvDAAAA2wAAAA8AAAAAAAAAAAAA&#10;AAAAoQIAAGRycy9kb3ducmV2LnhtbFBLBQYAAAAABAAEAPkAAACRAwAAAAA=&#10;" strokecolor="#e31b23" strokeweight=".5pt">
                  <v:stroke endarrow="block" joinstyle="miter"/>
                </v:shape>
                <v:shape id="Přímá spojnice se šipkou 17" o:spid="_x0000_s1041" type="#_x0000_t32" style="position:absolute;left:32289;top:13716;width:18205;height:402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pWC7wAAADbAAAADwAAAGRycy9kb3ducmV2LnhtbERPSwrCMBDdC94hjOBOUwU/VKOIIoi4&#10;8XOAoRnb0mZSmtTW2xtBcDeP9531tjOleFHtcssKJuMIBHFidc6pgsf9OFqCcB5ZY2mZFLzJwXbT&#10;760x1rblK71uPhUhhF2MCjLvq1hKl2Rk0I1tRRy4p60N+gDrVOoa2xBuSjmNork0mHNoyLCifUZJ&#10;cWuMgsO+uTbo3/PzrEiLqqPL5NAmSg0H3W4FwlPn/+Kf+6TD/AV8fwkHyM0H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0KpWC7wAAADbAAAADwAAAAAAAAAAAAAAAAChAgAA&#10;ZHJzL2Rvd25yZXYueG1sUEsFBgAAAAAEAAQA+QAAAIoDAAAAAA==&#10;" strokecolor="#e31b23" strokeweight=".5pt">
                  <v:stroke endarrow="block" joinstyle="miter"/>
                </v:shape>
                <v:roundrect id="Zaoblený obdélník 18" o:spid="_x0000_s1042" style="position:absolute;left:46482;top:27813;width:15979;height:561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jG3sMA&#10;AADbAAAADwAAAGRycy9kb3ducmV2LnhtbESPQWvCQBCF7wX/wzKCl6IbWxCJriJKsYdetL3kNmbH&#10;JJidDdlNjP++cxC8zfDevPfNeju4WvXUhsqzgfksAUWce1txYeDv92u6BBUissXaMxl4UIDtZvS2&#10;xtT6O5+oP8dCSQiHFA2UMTap1iEvyWGY+YZYtKtvHUZZ20LbFu8S7mr9kSQL7bBiaSixoX1J+e3c&#10;OQNHxH1G3fvteNh9dr632c/lkBkzGQ+7FahIQ3yZn9ffVvAFVn6RAfTm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jG3sMAAADbAAAADwAAAAAAAAAAAAAAAACYAgAAZHJzL2Rv&#10;d25yZXYueG1sUEsFBgAAAAAEAAQA9QAAAIgDAAAAAA==&#10;" fillcolor="#9ed7f7" strokecolor="#13b5ea" strokeweight=".5pt">
                  <v:fill color2="#7acdf8" rotate="t" colors="0 #9ed7f7;.5 #90d0f4;1 #7acdf8" focus="100%" type="gradient">
                    <o:fill v:ext="view" type="gradientUnscaled"/>
                  </v:fill>
                  <v:stroke joinstyle="miter"/>
                  <v:textbox>
                    <w:txbxContent>
                      <w:p w14:paraId="43300F16" w14:textId="77777777" w:rsidR="00034AD2" w:rsidRPr="00933D43" w:rsidRDefault="00034AD2" w:rsidP="00853FA9">
                        <w:pPr>
                          <w:spacing w:after="0" w:line="240" w:lineRule="auto"/>
                          <w:jc w:val="center"/>
                          <w:rPr>
                            <w:sz w:val="20"/>
                          </w:rPr>
                        </w:pPr>
                        <w:r w:rsidRPr="00933D43">
                          <w:rPr>
                            <w:sz w:val="20"/>
                          </w:rPr>
                          <w:t>Zdroje OZE nespadající do kontrolního mechanismu</w:t>
                        </w:r>
                      </w:p>
                    </w:txbxContent>
                  </v:textbox>
                </v:roundrect>
                <v:shape id="Přímá spojnice se šipkou 19" o:spid="_x0000_s1043" type="#_x0000_t32" style="position:absolute;left:53149;top:25336;width:457;height:244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ln4rwAAADbAAAADwAAAGRycy9kb3ducmV2LnhtbERPSwrCMBDdC94hjOBOUwVFq1FEEUTc&#10;+DnA0IxtaTMpTWrr7Y0guJvH+85625lSvKh2uWUFk3EEgjixOudUweN+HC1AOI+ssbRMCt7kYLvp&#10;99YYa9vylV43n4oQwi5GBZn3VSylSzIy6Ma2Ig7c09YGfYB1KnWNbQg3pZxG0VwazDk0ZFjRPqOk&#10;uDVGwWHfXBv07/l5VqRF1dFlcmgTpYaDbrcC4anzf/HPfdJh/hK+v4QD5OYD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znln4rwAAADbAAAADwAAAAAAAAAAAAAAAAChAgAA&#10;ZHJzL2Rvd25yZXYueG1sUEsFBgAAAAAEAAQA+QAAAIoDAAAAAA==&#10;" strokecolor="#e31b23" strokeweight=".5pt">
                  <v:stroke endarrow="block" joinstyle="miter"/>
                </v:shape>
                <v:roundrect id="Zaoblený obdélník 21" o:spid="_x0000_s1044" style="position:absolute;left:571;top:27813;width:17136;height:561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608YA&#10;AADbAAAADwAAAGRycy9kb3ducmV2LnhtbESPQWvCQBSE70L/w/IKvUjdREFKdJVSLBSl2BoFj4/s&#10;M1mSfRuyW03767uC4HGYmW+Y+bK3jThT541jBekoAUFcOG24VLDP359fQPiArLFxTAp+ycNy8TCY&#10;Y6bdhb/pvAuliBD2GSqoQmgzKX1RkUU/ci1x9E6usxii7EqpO7xEuG3kOEmm0qLhuFBhS28VFfXu&#10;xypYHz6n+WQ1NPl2tadjaTb139dGqafH/nUGIlAf7uFb+0MrGKdw/RJ/gFz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608YAAADbAAAADwAAAAAAAAAAAAAAAACYAgAAZHJz&#10;L2Rvd25yZXYueG1sUEsFBgAAAAAEAAQA9QAAAIsDAAAAAA==&#10;" fillcolor="#de9c9d" strokecolor="#b5121b" strokeweight=".5pt">
                  <v:fill color2="#d2797a" rotate="t" colors="0 #de9c9d;.5 #d48f90;1 #d2797a" focus="100%" type="gradient">
                    <o:fill v:ext="view" type="gradientUnscaled"/>
                  </v:fill>
                  <v:stroke joinstyle="miter"/>
                  <v:textbox>
                    <w:txbxContent>
                      <w:p w14:paraId="3F71566B" w14:textId="77777777" w:rsidR="00034AD2" w:rsidRPr="00933D43" w:rsidRDefault="00034AD2" w:rsidP="00853FA9">
                        <w:pPr>
                          <w:spacing w:after="0" w:line="240" w:lineRule="auto"/>
                          <w:jc w:val="center"/>
                          <w:rPr>
                            <w:sz w:val="20"/>
                          </w:rPr>
                        </w:pPr>
                        <w:r w:rsidRPr="00933D43">
                          <w:rPr>
                            <w:sz w:val="20"/>
                          </w:rPr>
                          <w:t>Zdroje OZE pouze s podporou elektřiny z OZE</w:t>
                        </w:r>
                      </w:p>
                    </w:txbxContent>
                  </v:textbox>
                </v:roundrect>
                <v:roundrect id="Zaoblený obdélník 22" o:spid="_x0000_s1045" style="position:absolute;left:20764;top:28003;width:22896;height:561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0kpMYA&#10;AADbAAAADwAAAGRycy9kb3ducmV2LnhtbESPQWvCQBSE7wX/w/IEL6VumoKU6CpSFKRStMaCx0f2&#10;mSxm34bsqtFf3xUKPQ4z8w0zmXW2FhdqvXGs4HWYgCAunDZcKtjny5d3ED4ga6wdk4IbeZhNe08T&#10;zLS78jdddqEUEcI+QwVVCE0mpS8qsuiHriGO3tG1FkOUbSl1i9cIt7VMk2QkLRqOCxU29FFRcdqd&#10;rYLPn69R/rZ4NvlmsadDadan+3at1KDfzccgAnXhP/zXXmkFaQqPL/EHyO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R0kpMYAAADbAAAADwAAAAAAAAAAAAAAAACYAgAAZHJz&#10;L2Rvd25yZXYueG1sUEsFBgAAAAAEAAQA9QAAAIsDAAAAAA==&#10;" fillcolor="#de9c9d" strokecolor="#b5121b" strokeweight=".5pt">
                  <v:fill color2="#d2797a" rotate="t" colors="0 #de9c9d;.5 #d48f90;1 #d2797a" focus="100%" type="gradient">
                    <o:fill v:ext="view" type="gradientUnscaled"/>
                  </v:fill>
                  <v:stroke joinstyle="miter"/>
                  <v:textbox>
                    <w:txbxContent>
                      <w:p w14:paraId="5754DB7D" w14:textId="77777777" w:rsidR="00034AD2" w:rsidRPr="00933D43" w:rsidRDefault="00034AD2" w:rsidP="00853FA9">
                        <w:pPr>
                          <w:spacing w:after="0" w:line="240" w:lineRule="auto"/>
                          <w:jc w:val="center"/>
                          <w:rPr>
                            <w:sz w:val="20"/>
                          </w:rPr>
                        </w:pPr>
                        <w:r w:rsidRPr="00933D43">
                          <w:rPr>
                            <w:sz w:val="20"/>
                          </w:rPr>
                          <w:t>Zdroje OZE s podporou elektřiny z OZE a další podporou (kumulace podpor)</w:t>
                        </w:r>
                      </w:p>
                    </w:txbxContent>
                  </v:textbox>
                </v:roundrect>
                <v:shape id="Přímá spojnice se šipkou 23" o:spid="_x0000_s1046" type="#_x0000_t32" style="position:absolute;left:11811;top:24479;width:10725;height:351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2atb8AAADbAAAADwAAAGRycy9kb3ducmV2LnhtbESPzQrCMBCE74LvEFbwpqmKItUooggi&#10;Xvx5gKVZ29JmU5rU1rc3guBxmJlvmPW2M6V4Ue1yywom4wgEcWJ1zqmCx/04WoJwHlljaZkUvMnB&#10;dtPvrTHWtuUrvW4+FQHCLkYFmfdVLKVLMjLoxrYiDt7T1gZ9kHUqdY1tgJtSTqNoIQ3mHBYyrGif&#10;UVLcGqPgsG+uDfr34jwv0qLq6DI5tIlSw0G3W4Hw1Pl/+Nc+aQXTGXy/hB8gN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f2atb8AAADbAAAADwAAAAAAAAAAAAAAAACh&#10;AgAAZHJzL2Rvd25yZXYueG1sUEsFBgAAAAAEAAQA+QAAAI0DAAAAAA==&#10;" strokecolor="#e31b23" strokeweight=".5pt">
                  <v:stroke endarrow="block" joinstyle="miter"/>
                </v:shape>
                <v:shape id="Přímá spojnice se šipkou 24" o:spid="_x0000_s1047" type="#_x0000_t32" style="position:absolute;left:33051;top:25336;width:457;height:26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14GsUAAADbAAAADwAAAGRycy9kb3ducmV2LnhtbESPQWvCQBSE70L/w/IKvemmIkFSVylS&#10;xYNFNNL2+Jp9zYZm34bsNqb+elcQPA4z8w0zW/S2Fh21vnKs4HmUgCAunK64VHDMV8MpCB+QNdaO&#10;ScE/eVjMHwYzzLQ78Z66QyhFhLDPUIEJocmk9IUhi37kGuLo/bjWYoiyLaVu8RThtpbjJEmlxYrj&#10;gsGGloaK38OfVWDX+937+eM7X57zT8Nfb2m33aZKPT32ry8gAvXhHr61N1rBeALXL/EHyP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Q14GsUAAADbAAAADwAAAAAAAAAA&#10;AAAAAAChAgAAZHJzL2Rvd25yZXYueG1sUEsFBgAAAAAEAAQA+QAAAJMDAAAAAA==&#10;" strokecolor="#e31b23" strokeweight=".5pt">
                  <v:stroke endarrow="block" joinstyle="miter"/>
                </v:shape>
                <v:roundrect id="Zaoblený obdélník 26" o:spid="_x0000_s1048" style="position:absolute;left:190;top:37242;width:19584;height:813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diMcIA&#10;AADbAAAADwAAAGRycy9kb3ducmV2LnhtbESPQYvCMBSE7wv+h/CEva2pPZSlGosILYunVfcHPJpn&#10;W9q8lCbbVn+9EQSPw8x8w2yz2XRipME1lhWsVxEI4tLqhisFf5f86xuE88gaO8uk4EYOst3iY4up&#10;thOfaDz7SgQIuxQV1N73qZSurMmgW9meOHhXOxj0QQ6V1ANOAW46GUdRIg02HBZq7OlQU9me/42C&#10;5n79bYvodpny47GvxqTI47lQ6nM57zcgPM3+HX61f7SCOIHnl/AD5O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V2IxwgAAANsAAAAPAAAAAAAAAAAAAAAAAJgCAABkcnMvZG93&#10;bnJldi54bWxQSwUGAAAAAAQABAD1AAAAhwMAAAAA&#10;" fillcolor="#e31b23" strokecolor="#a71117" strokeweight="1pt">
                  <v:stroke joinstyle="miter"/>
                  <v:textbox>
                    <w:txbxContent>
                      <w:p w14:paraId="6698C0F7" w14:textId="52686461" w:rsidR="00034AD2" w:rsidRPr="00933D43" w:rsidRDefault="00034AD2" w:rsidP="00853FA9">
                        <w:pPr>
                          <w:spacing w:after="0" w:line="240" w:lineRule="auto"/>
                          <w:jc w:val="center"/>
                          <w:rPr>
                            <w:sz w:val="20"/>
                          </w:rPr>
                        </w:pPr>
                        <w:r w:rsidRPr="00933D43">
                          <w:rPr>
                            <w:sz w:val="20"/>
                          </w:rPr>
                          <w:t>Rozdělení zdrojů OZE na hladiny podle velikosti instalovaného výkonu</w:t>
                        </w:r>
                        <w:r>
                          <w:rPr>
                            <w:sz w:val="20"/>
                          </w:rPr>
                          <w:t xml:space="preserve"> a podle data uvedení zdroje do provozu</w:t>
                        </w:r>
                      </w:p>
                    </w:txbxContent>
                  </v:textbox>
                </v:roundrect>
                <v:roundrect id="Zaoblený obdélník 27" o:spid="_x0000_s1049" style="position:absolute;left:21812;top:37242;width:19583;height:1000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vHqsMA&#10;AADbAAAADwAAAGRycy9kb3ducmV2LnhtbESPzWrDMBCE74G8g9hAb7FcH9ziRgmlYBNySp08wGKt&#10;f4i1MpZiO336qFDocZiZb5jdYTG9mGh0nWUFr1EMgriyuuNGwfWSb99BOI+ssbdMCh7k4LBfr3aY&#10;aTvzN02lb0SAsMtQQev9kEnpqpYMusgOxMGr7WjQBzk2Uo84B7jpZRLHqTTYcVhocaCvlqpbeTcK&#10;up/6fCvix2XOT6ehmdIiT5ZCqZfN8vkBwtPi/8N/7aNWkLzB75fwA+T+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vHqsMAAADbAAAADwAAAAAAAAAAAAAAAACYAgAAZHJzL2Rv&#10;d25yZXYueG1sUEsFBgAAAAAEAAQA9QAAAIgDAAAAAA==&#10;" fillcolor="#e31b23" strokecolor="#a71117" strokeweight="1pt">
                  <v:stroke joinstyle="miter"/>
                  <v:textbox>
                    <w:txbxContent>
                      <w:p w14:paraId="7AF2AB36" w14:textId="77777777" w:rsidR="00034AD2" w:rsidRPr="00933D43" w:rsidRDefault="00034AD2" w:rsidP="00853FA9">
                        <w:pPr>
                          <w:spacing w:after="0" w:line="240" w:lineRule="auto"/>
                          <w:jc w:val="center"/>
                          <w:rPr>
                            <w:sz w:val="20"/>
                          </w:rPr>
                        </w:pPr>
                        <w:r w:rsidRPr="00933D43">
                          <w:rPr>
                            <w:sz w:val="20"/>
                          </w:rPr>
                          <w:t xml:space="preserve">Rozdělení zdrojů OZE podle druhu kumulace podpory elektřiny z OZE s dalšími druhy podpor </w:t>
                        </w:r>
                      </w:p>
                    </w:txbxContent>
                  </v:textbox>
                </v:roundrect>
                <v:shape id="Přímá spojnice se šipkou 28" o:spid="_x0000_s1050" type="#_x0000_t32" style="position:absolute;left:8477;top:33623;width:457;height:33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kIxLwAAADbAAAADwAAAGRycy9kb3ducmV2LnhtbERPSwrCMBDdC94hjOBOUwVFqmkRRRBx&#10;4+cAQzO2pc2kNKmttzcLweXj/XfpYGrxptaVlhUs5hEI4szqknMFz8dptgHhPLLG2jIp+JCDNBmP&#10;dhhr2/ON3nefixDCLkYFhfdNLKXLCjLo5rYhDtzLtgZ9gG0udYt9CDe1XEbRWhosOTQU2NChoKy6&#10;d0bB8dDdOvSf9WVV5VUz0HVx7DOlppNhvwXhafB/8c991gqWYWz4En6ATL4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b1kIxLwAAADbAAAADwAAAAAAAAAAAAAAAAChAgAA&#10;ZHJzL2Rvd25yZXYueG1sUEsFBgAAAAAEAAQA+QAAAIoDAAAAAA==&#10;" strokecolor="#e31b23" strokeweight=".5pt">
                  <v:stroke endarrow="block" joinstyle="miter"/>
                </v:shape>
                <v:shape id="Přímá spojnice se šipkou 29" o:spid="_x0000_s1051" type="#_x0000_t32" style="position:absolute;left:32385;top:33623;width:457;height:36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zXhMYAAADbAAAADwAAAGRycy9kb3ducmV2LnhtbESPQWvCQBSE74X+h+UVequbegg1dZUi&#10;belBEY1Uj8/sMxuafRuya0z99a4geBxm5htmPO1tLTpqfeVYwesgAUFcOF1xqWCTf728gfABWWPt&#10;mBT8k4fp5PFhjJl2J15Rtw6liBD2GSowITSZlL4wZNEPXEMcvYNrLYYo21LqFk8Rbms5TJJUWqw4&#10;LhhsaGao+FsfrQL7vVouzr/7fHbOt4Z3n2k3n6dKPT/1H+8gAvXhHr61f7SC4QiuX+IPkJ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sM14TGAAAA2wAAAA8AAAAAAAAA&#10;AAAAAAAAoQIAAGRycy9kb3ducmV2LnhtbFBLBQYAAAAABAAEAPkAAACUAwAAAAA=&#10;" strokecolor="#e31b23" strokeweight=".5pt">
                  <v:stroke endarrow="block" joinstyle="miter"/>
                </v:shape>
                <v:roundrect id="Zaoblený obdélník 30" o:spid="_x0000_s1052" style="position:absolute;left:190;top:48577;width:21456;height:597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oDcEA&#10;AADbAAAADwAAAGRycy9kb3ducmV2LnhtbERPTYvCMBC9C/6HMII3TVehSNe0iCCIiLC64O5tbGbb&#10;0mZSmmjrvzeHBY+P973OBtOIB3WusqzgYx6BIM6trrhQ8H3ZzVYgnEfW2FgmBU9ykKXj0RoTbXv+&#10;osfZFyKEsEtQQel9m0jp8pIMurltiQP3ZzuDPsCukLrDPoSbRi6iKJYGKw4NJba0LSmvz3ejID6c&#10;+Fbffo+b6sf3z+01ilfXWqnpZNh8gvA0+Lf4373XCpZhffgSfoBM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KA3BAAAA2wAAAA8AAAAAAAAAAAAAAAAAmAIAAGRycy9kb3du&#10;cmV2LnhtbFBLBQYAAAAABAAEAPUAAACGAwAAAAA=&#10;" fillcolor="#b9e0f7" strokecolor="#87a4b6" strokeweight="1pt">
                  <v:stroke joinstyle="miter"/>
                  <v:textbox>
                    <w:txbxContent>
                      <w:p w14:paraId="17856C4A" w14:textId="3BF57E0B" w:rsidR="00034AD2" w:rsidRPr="00933D43" w:rsidRDefault="00034AD2" w:rsidP="00853FA9">
                        <w:pPr>
                          <w:spacing w:after="0" w:line="240" w:lineRule="auto"/>
                          <w:jc w:val="center"/>
                          <w:rPr>
                            <w:sz w:val="20"/>
                          </w:rPr>
                        </w:pPr>
                        <w:r w:rsidRPr="00933D43">
                          <w:rPr>
                            <w:sz w:val="20"/>
                          </w:rPr>
                          <w:t>Provedení kontroly minimálně 5 zdrojů OZE z každé výkonové hladiny</w:t>
                        </w:r>
                        <w:r>
                          <w:rPr>
                            <w:sz w:val="20"/>
                          </w:rPr>
                          <w:t xml:space="preserve"> a data uvedení do provozu</w:t>
                        </w:r>
                      </w:p>
                    </w:txbxContent>
                  </v:textbox>
                </v:roundrect>
                <v:roundrect id="Zaoblený obdélník 31" o:spid="_x0000_s1053" style="position:absolute;left:42672;top:42957;width:19939;height:46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ONlsQA&#10;AADbAAAADwAAAGRycy9kb3ducmV2LnhtbESP3YrCMBSE74V9h3AE7zTVhSJdo4iwIMsi+AN1747N&#10;sS1tTkqTtfXtjSB4OczMN8xi1Zta3Kh1pWUF00kEgjizuuRcwen4PZ6DcB5ZY22ZFNzJwWr5MVhg&#10;om3He7odfC4ChF2CCgrvm0RKlxVk0E1sQxy8q20N+iDbXOoWuwA3tZxFUSwNlhwWCmxoU1BWHf6N&#10;gvhnx5fq8ve7Ls++u2/SKJ6nlVKjYb/+AuGp9+/wq73VCj6n8PwSfo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DjZbEAAAA2wAAAA8AAAAAAAAAAAAAAAAAmAIAAGRycy9k&#10;b3ducmV2LnhtbFBLBQYAAAAABAAEAPUAAACJAwAAAAA=&#10;" fillcolor="#b9e0f7" strokecolor="#87a4b6" strokeweight="1pt">
                  <v:stroke joinstyle="miter"/>
                  <v:textbox>
                    <w:txbxContent>
                      <w:p w14:paraId="6DB855A0" w14:textId="77777777" w:rsidR="00034AD2" w:rsidRPr="00D3208C" w:rsidRDefault="00034AD2" w:rsidP="00853FA9">
                        <w:pPr>
                          <w:spacing w:after="0" w:line="240" w:lineRule="auto"/>
                          <w:jc w:val="center"/>
                          <w:rPr>
                            <w:sz w:val="20"/>
                          </w:rPr>
                        </w:pPr>
                        <w:r w:rsidRPr="00D3208C">
                          <w:rPr>
                            <w:sz w:val="20"/>
                          </w:rPr>
                          <w:t xml:space="preserve">Podpora elektřiny z OZE + podpora decentrální výroby </w:t>
                        </w:r>
                      </w:p>
                    </w:txbxContent>
                  </v:textbox>
                </v:roundrect>
                <v:shape id="Přímá spojnice se šipkou 32" o:spid="_x0000_s1054" type="#_x0000_t32" style="position:absolute;left:9144;top:45624;width:576;height:28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HTKMUAAADbAAAADwAAAGRycy9kb3ducmV2LnhtbESPQWvCQBSE70L/w/IKvemmCkFSVylS&#10;xYNFNNL2+Jp9zYZm34bsNqb+elcQPA4z8w0zW/S2Fh21vnKs4HmUgCAunK64VHDMV8MpCB+QNdaO&#10;ScE/eVjMHwYzzLQ78Z66QyhFhLDPUIEJocmk9IUhi37kGuLo/bjWYoiyLaVu8RThtpbjJEmlxYrj&#10;gsGGloaK38OfVWDX+937+eM7X57zT8Nfb2m33aZKPT32ry8gAvXhHr61N1rBZAzXL/EHyP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HHTKMUAAADbAAAADwAAAAAAAAAA&#10;AAAAAAChAgAAZHJzL2Rvd25yZXYueG1sUEsFBgAAAAAEAAQA+QAAAJMDAAAAAA==&#10;" strokecolor="#e31b23" strokeweight=".5pt">
                  <v:stroke endarrow="block" joinstyle="miter"/>
                </v:shape>
                <v:roundrect id="Zaoblený obdélník 34" o:spid="_x0000_s1055" style="position:absolute;left:42957;top:49339;width:19654;height:518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QuDsQA&#10;AADbAAAADwAAAGRycy9kb3ducmV2LnhtbESPQYvCMBSE7wv+h/AEb2uqLkWqUUQQRETQXVBvz+bZ&#10;ljYvpYm2/vuNsLDHYWa+YebLzlTiSY0rLCsYDSMQxKnVBWcKfr43n1MQziNrrCyTghc5WC56H3NM&#10;tG35SM+Tz0SAsEtQQe59nUjp0pwMuqGtiYN3t41BH2STSd1gG+CmkuMoiqXBgsNCjjWtc0rL08Mo&#10;iHcHvpW3635VXHz7Wp+jeHoulRr0u9UMhKfO/4f/2lutYPIF7y/hB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0Lg7EAAAA2wAAAA8AAAAAAAAAAAAAAAAAmAIAAGRycy9k&#10;b3ducmV2LnhtbFBLBQYAAAAABAAEAPUAAACJAwAAAAA=&#10;" fillcolor="#b9e0f7" strokecolor="#87a4b6" strokeweight="1pt">
                  <v:stroke joinstyle="miter"/>
                  <v:textbox>
                    <w:txbxContent>
                      <w:p w14:paraId="6E0F3814" w14:textId="77777777" w:rsidR="00034AD2" w:rsidRPr="00D3208C" w:rsidRDefault="00034AD2" w:rsidP="00853FA9">
                        <w:pPr>
                          <w:spacing w:after="0" w:line="240" w:lineRule="auto"/>
                          <w:jc w:val="center"/>
                          <w:rPr>
                            <w:sz w:val="20"/>
                          </w:rPr>
                        </w:pPr>
                        <w:r w:rsidRPr="00D3208C">
                          <w:rPr>
                            <w:sz w:val="20"/>
                          </w:rPr>
                          <w:t>Podpora elektřiny z OZE + podpora elektřiny z KVET</w:t>
                        </w:r>
                      </w:p>
                    </w:txbxContent>
                  </v:textbox>
                </v:roundrect>
                <v:roundrect id="Zaoblený obdélník 35" o:spid="_x0000_s1056" style="position:absolute;left:43243;top:55530;width:19653;height:496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LlcQA&#10;AADbAAAADwAAAGRycy9kb3ducmV2LnhtbESPQYvCMBSE7wv+h/AEb2uqskWqUUQQRETQXVBvz+bZ&#10;ljYvpYm2/vuNsLDHYWa+YebLzlTiSY0rLCsYDSMQxKnVBWcKfr43n1MQziNrrCyTghc5WC56H3NM&#10;tG35SM+Tz0SAsEtQQe59nUjp0pwMuqGtiYN3t41BH2STSd1gG+CmkuMoiqXBgsNCjjWtc0rL08Mo&#10;iHcHvpW3635VXHz7Wp+jeHoulRr0u9UMhKfO/4f/2lutYPIF7y/hB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i5XEAAAA2wAAAA8AAAAAAAAAAAAAAAAAmAIAAGRycy9k&#10;b3ducmV2LnhtbFBLBQYAAAAABAAEAPUAAACJAwAAAAA=&#10;" fillcolor="#b9e0f7" strokecolor="#87a4b6" strokeweight="1pt">
                  <v:stroke joinstyle="miter"/>
                  <v:textbox>
                    <w:txbxContent>
                      <w:p w14:paraId="7B1DCC1F" w14:textId="77777777" w:rsidR="00034AD2" w:rsidRPr="00D3208C" w:rsidRDefault="00034AD2" w:rsidP="00853FA9">
                        <w:pPr>
                          <w:spacing w:after="0" w:line="240" w:lineRule="auto"/>
                          <w:jc w:val="center"/>
                          <w:rPr>
                            <w:sz w:val="20"/>
                          </w:rPr>
                        </w:pPr>
                        <w:r w:rsidRPr="00D3208C">
                          <w:rPr>
                            <w:sz w:val="20"/>
                          </w:rPr>
                          <w:t>Podpora elektřiny z OZE + podpora tepla z OZE</w:t>
                        </w:r>
                      </w:p>
                    </w:txbxContent>
                  </v:textbox>
                </v:roundrect>
                <v:roundrect id="Zaoblený obdélník 36" o:spid="_x0000_s1057" style="position:absolute;left:43434;top:61722;width:19653;height:496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oV4sUA&#10;AADbAAAADwAAAGRycy9kb3ducmV2LnhtbESPQWvCQBSE7wX/w/KE3pqNFYJEV5GAUIoUagX19pJ9&#10;JiHZtyG7TeK/7xYKPQ4z8w2z2U2mFQP1rrasYBHFIIgLq2suFZy/Di8rEM4ja2wtk4IHOdhtZ08b&#10;TLUd+ZOGky9FgLBLUUHlfZdK6YqKDLrIdsTBu9veoA+yL6XucQxw08rXOE6kwZrDQoUdZRUVzenb&#10;KEjePzhv8ttxX1/9+MgucbK6NEo9z6f9GoSnyf+H/9pvWsEygd8v4Qf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KhXixQAAANsAAAAPAAAAAAAAAAAAAAAAAJgCAABkcnMv&#10;ZG93bnJldi54bWxQSwUGAAAAAAQABAD1AAAAigMAAAAA&#10;" fillcolor="#b9e0f7" strokecolor="#87a4b6" strokeweight="1pt">
                  <v:stroke joinstyle="miter"/>
                  <v:textbox>
                    <w:txbxContent>
                      <w:p w14:paraId="02B53014" w14:textId="77777777" w:rsidR="00034AD2" w:rsidRPr="00D3208C" w:rsidRDefault="00034AD2" w:rsidP="00853FA9">
                        <w:pPr>
                          <w:spacing w:after="0" w:line="240" w:lineRule="auto"/>
                          <w:jc w:val="center"/>
                          <w:rPr>
                            <w:sz w:val="20"/>
                          </w:rPr>
                        </w:pPr>
                        <w:r w:rsidRPr="00D3208C">
                          <w:rPr>
                            <w:sz w:val="20"/>
                          </w:rPr>
                          <w:t>Podpora elektřiny z OZE + podpora druhotných zdrojů</w:t>
                        </w:r>
                      </w:p>
                    </w:txbxContent>
                  </v:textbox>
                </v:roundrect>
                <v:roundrect id="Zaoblený obdélník 38" o:spid="_x0000_s1058" style="position:absolute;left:44100;top:67913;width:19150;height:511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kkC8EA&#10;AADbAAAADwAAAGRycy9kb3ducmV2LnhtbERPTYvCMBC9C/6HMII3TVehSNe0iCCIiLC64O5tbGbb&#10;0mZSmmjrvzeHBY+P973OBtOIB3WusqzgYx6BIM6trrhQ8H3ZzVYgnEfW2FgmBU9ykKXj0RoTbXv+&#10;osfZFyKEsEtQQel9m0jp8pIMurltiQP3ZzuDPsCukLrDPoSbRi6iKJYGKw4NJba0LSmvz3ejID6c&#10;+Fbffo+b6sf3z+01ilfXWqnpZNh8gvA0+Lf4373XCpZhbPgSfoBM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5JAvBAAAA2wAAAA8AAAAAAAAAAAAAAAAAmAIAAGRycy9kb3du&#10;cmV2LnhtbFBLBQYAAAAABAAEAPUAAACGAwAAAAA=&#10;" fillcolor="#b9e0f7" strokecolor="#87a4b6" strokeweight="1pt">
                  <v:stroke joinstyle="miter"/>
                  <v:textbox>
                    <w:txbxContent>
                      <w:p w14:paraId="08721B00" w14:textId="77777777" w:rsidR="00034AD2" w:rsidRPr="00D3208C" w:rsidRDefault="00034AD2" w:rsidP="00853FA9">
                        <w:pPr>
                          <w:spacing w:after="0" w:line="240" w:lineRule="auto"/>
                          <w:jc w:val="center"/>
                          <w:rPr>
                            <w:sz w:val="20"/>
                          </w:rPr>
                        </w:pPr>
                        <w:r w:rsidRPr="00D3208C">
                          <w:rPr>
                            <w:sz w:val="20"/>
                          </w:rPr>
                          <w:t xml:space="preserve">Podpora elektřiny z OZE + investiční podpora </w:t>
                        </w:r>
                      </w:p>
                    </w:txbxContent>
                  </v:textbox>
                </v:roundrect>
                <v:roundrect id="Zaoblený obdélník 40" o:spid="_x0000_s1059" style="position:absolute;left:43434;top:74104;width:19653;height:34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lbcMEA&#10;AADbAAAADwAAAGRycy9kb3ducmV2LnhtbERPTYvCMBC9C/6HMII3TVekSNe0iCCIiLC64O5tbGbb&#10;0mZSmmjrvzeHBY+P973OBtOIB3WusqzgYx6BIM6trrhQ8H3ZzVYgnEfW2FgmBU9ykKXj0RoTbXv+&#10;osfZFyKEsEtQQel9m0jp8pIMurltiQP3ZzuDPsCukLrDPoSbRi6iKJYGKw4NJba0LSmvz3ejID6c&#10;+Fbffo+b6sf3z+01ilfXWqnpZNh8gvA0+Lf4373XCpZhffgSfoBM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JW3DBAAAA2wAAAA8AAAAAAAAAAAAAAAAAmAIAAGRycy9kb3du&#10;cmV2LnhtbFBLBQYAAAAABAAEAPUAAACGAwAAAAA=&#10;" fillcolor="#b9e0f7" strokecolor="#87a4b6" strokeweight="1pt">
                  <v:stroke joinstyle="miter"/>
                  <v:textbox>
                    <w:txbxContent>
                      <w:p w14:paraId="62F7CB72" w14:textId="77777777" w:rsidR="00034AD2" w:rsidRPr="00D3208C" w:rsidRDefault="00034AD2" w:rsidP="007D785A">
                        <w:pPr>
                          <w:jc w:val="center"/>
                          <w:rPr>
                            <w:sz w:val="20"/>
                          </w:rPr>
                        </w:pPr>
                        <w:r w:rsidRPr="00D3208C">
                          <w:rPr>
                            <w:sz w:val="20"/>
                          </w:rPr>
                          <w:t>Kumulace více druhů podpor</w:t>
                        </w:r>
                      </w:p>
                    </w:txbxContent>
                  </v:textbox>
                </v:roundrect>
                <v:shape id="Přímá spojnice se šipkou 45" o:spid="_x0000_s1060" type="#_x0000_t32" style="position:absolute;left:33051;top:47625;width:7696;height:120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44IcYAAADbAAAADwAAAGRycy9kb3ducmV2LnhtbESPQWvCQBSE70L/w/KE3nRjqaGkrlKk&#10;Sg+KaErb42v2NRuafRuy2xj99a4g9DjMzDfMbNHbWnTU+sqxgsk4AUFcOF1xqeA9X42eQPiArLF2&#10;TApO5GExvxvMMNPuyHvqDqEUEcI+QwUmhCaT0heGLPqxa4ij9+NaiyHKtpS6xWOE21o+JEkqLVYc&#10;Fww2tDRU/B7+rAK73u+254/vfHnOPw1/vabdZpMqdT/sX55BBOrDf/jWftMKHqdw/RJ/gJx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eeOCHGAAAA2wAAAA8AAAAAAAAA&#10;AAAAAAAAoQIAAGRycy9kb3ducmV2LnhtbFBLBQYAAAAABAAEAPkAAACUAwAAAAA=&#10;" strokecolor="#e31b23" strokeweight=".5pt">
                  <v:stroke endarrow="block" joinstyle="miter"/>
                </v:shape>
                <v:roundrect id="Zaoblený obdélník 49" o:spid="_x0000_s1061" style="position:absolute;left:40671;top:80772;width:19654;height:4319;visibility:visible;mso-wrap-style:square;v-text-anchor:middle" arcsize="1003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ydycYA&#10;AADbAAAADwAAAGRycy9kb3ducmV2LnhtbESPUUvDQBCE3wX/w7GCb/ZisKKx1xIKBVEsbW1R35bc&#10;moTm9mJu28R/3ysIPg4z8w0zmQ2uUUfqQu3ZwO0oAUVceFtzaWD7vrh5ABUE2WLjmQz8UoDZ9PJi&#10;gpn1Pa/puJFSRQiHDA1UIm2mdSgqchhGviWO3rfvHEqUXalth32Eu0anSXKvHdYcFypsaV5Rsd8c&#10;nIGPNznkPzrt5y+fxS5P5Wv1uhwbc3015E+ghAb5D/+1n62Bu0c4f4k/QE9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vydycYAAADbAAAADwAAAAAAAAAAAAAAAACYAgAAZHJz&#10;L2Rvd25yZXYueG1sUEsFBgAAAAAEAAQA9QAAAIsDAAAAAA==&#10;" fillcolor="#de9c9d" strokecolor="#b5121b" strokeweight=".5pt">
                  <v:fill color2="#d2797a" rotate="t" colors="0 #de9c9d;.5 #d48f90;1 #d2797a" focus="100%" type="gradient">
                    <o:fill v:ext="view" type="gradientUnscaled"/>
                  </v:fill>
                  <v:stroke joinstyle="miter"/>
                  <v:textbox>
                    <w:txbxContent>
                      <w:p w14:paraId="3BA5DC46" w14:textId="77777777" w:rsidR="00034AD2" w:rsidRPr="00933D43" w:rsidRDefault="00034AD2" w:rsidP="00853FA9">
                        <w:pPr>
                          <w:spacing w:after="0" w:line="240" w:lineRule="auto"/>
                          <w:jc w:val="center"/>
                          <w:rPr>
                            <w:sz w:val="20"/>
                          </w:rPr>
                        </w:pPr>
                        <w:r w:rsidRPr="00933D43">
                          <w:rPr>
                            <w:sz w:val="20"/>
                          </w:rPr>
                          <w:t>Rozdělení kontroly na zjednodušenou a podrobnou</w:t>
                        </w:r>
                      </w:p>
                    </w:txbxContent>
                  </v:textbox>
                </v:round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vá složená závorka 51" o:spid="_x0000_s1062" type="#_x0000_t87" style="position:absolute;left:41433;top:42291;width:1728;height:352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58nsMA&#10;AADbAAAADwAAAGRycy9kb3ducmV2LnhtbESPS4vCQBCE78L+h6EXvOkkgq9sJrKrCB68qMuem0zn&#10;wWZ6QmY08d87guCxqKqvqHQzmEbcqHO1ZQXxNAJBnFtdc6ng97KfrEA4j6yxsUwK7uRgk32MUky0&#10;7flEt7MvRYCwS1BB5X2bSOnyigy6qW2Jg1fYzqAPsiul7rAPcNPIWRQtpMGaw0KFLW0ryv/PV6MA&#10;eb2bHaP4coz7YrFs1z/L4u+k1Phz+P4C4Wnw7/CrfdAK5jE8v4QfI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58nsMAAADbAAAADwAAAAAAAAAAAAAAAACYAgAAZHJzL2Rv&#10;d25yZXYueG1sUEsFBgAAAAAEAAQA9QAAAIgDAAAAAA==&#10;" adj="88" strokecolor="#e31b23" strokeweight=".5pt">
                  <v:stroke joinstyle="miter"/>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Pravá složená závorka 52" o:spid="_x0000_s1063" type="#_x0000_t88" style="position:absolute;left:62007;top:42195;width:3016;height:36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1r18IA&#10;AADbAAAADwAAAGRycy9kb3ducmV2LnhtbESPzYrCMBSF94LvEK7gTlMFRapRRBFcyAxa0e2lubad&#10;aW5KE7X69EYQXB7Oz8eZLRpTihvVrrCsYNCPQBCnVhecKTgmm94EhPPIGkvLpOBBDhbzdmuGsbZ3&#10;3tPt4DMRRtjFqCD3voqldGlOBl3fVsTBu9jaoA+yzqSu8R7GTSmHUTSWBgsOhBwrWuWU/h+uJkCe&#10;p7/kZ3R92l3y2J/X9nKaZL9KdTvNcgrCU+O/4U97qxWMhvD+En6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7WvXwgAAANsAAAAPAAAAAAAAAAAAAAAAAJgCAABkcnMvZG93&#10;bnJldi54bWxQSwUGAAAAAAQABAD1AAAAhwMAAAAA&#10;" adj="150" strokecolor="#e31b23" strokeweight=".5pt">
                  <v:stroke joinstyle="miter"/>
                </v:shape>
                <v:roundrect id="Zaoblený obdélník 57" o:spid="_x0000_s1064" style="position:absolute;left:380;top:58576;width:24097;height:933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z0QccA&#10;AADbAAAADwAAAGRycy9kb3ducmV2LnhtbESP3WoCMRSE7wu+QziCN0WztVRla5QiCqIUf9ZCLw+b&#10;093g5mTZRF379E2h0MthZr5hpvPWVuJKjTeOFTwNEhDEudOGCwWnbNWfgPABWWPlmBTcycN81nmY&#10;YqrdjQ90PYZCRAj7FBWUIdSplD4vyaIfuJo4el+usRiibAqpG7xFuK3kMElG0qLhuFBiTYuS8vPx&#10;YhVsPt5H2fPy0WS75Yk+C7M9f++3SvW67dsriEBt+A//tddawcsYfr/EHyBn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ls9EHHAAAA2wAAAA8AAAAAAAAAAAAAAAAAmAIAAGRy&#10;cy9kb3ducmV2LnhtbFBLBQYAAAAABAAEAPUAAACMAwAAAAA=&#10;" fillcolor="#de9c9d" strokecolor="#b5121b" strokeweight=".5pt">
                  <v:fill color2="#d2797a" rotate="t" colors="0 #de9c9d;.5 #d48f90;1 #d2797a" focus="100%" type="gradient">
                    <o:fill v:ext="view" type="gradientUnscaled"/>
                  </v:fill>
                  <v:stroke joinstyle="miter"/>
                  <v:textbox>
                    <w:txbxContent>
                      <w:p w14:paraId="7632B1A7" w14:textId="24A991B5" w:rsidR="00034AD2" w:rsidRPr="00933D43" w:rsidRDefault="00034AD2" w:rsidP="00853FA9">
                        <w:pPr>
                          <w:spacing w:after="0" w:line="240" w:lineRule="auto"/>
                          <w:jc w:val="center"/>
                          <w:rPr>
                            <w:sz w:val="20"/>
                          </w:rPr>
                        </w:pPr>
                        <w:r w:rsidRPr="00EB06F0">
                          <w:rPr>
                            <w:sz w:val="20"/>
                          </w:rPr>
                          <w:t xml:space="preserve">Provedení kontroly </w:t>
                        </w:r>
                        <w:r w:rsidRPr="00EB06F0">
                          <w:rPr>
                            <w:iCs/>
                            <w:color w:val="000000"/>
                            <w:sz w:val="20"/>
                          </w:rPr>
                          <w:t xml:space="preserve">dosavadních  budoucích výrobních nákladů  (provozních a investičních) </w:t>
                        </w:r>
                      </w:p>
                    </w:txbxContent>
                  </v:textbox>
                </v:roundrect>
                <v:shape id="Přímá spojnice se šipkou 58" o:spid="_x0000_s1065" type="#_x0000_t32" style="position:absolute;left:9810;top:54483;width:457;height:39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YBYsMAAADbAAAADwAAAGRycy9kb3ducmV2LnhtbERPz2vCMBS+D/Y/hDfYbU0nrIxqFJE5&#10;dnAMrajHZ/Nsis1LabLa+dcvB8Hjx/d7MhtsI3rqfO1YwWuSgiAuna65UrAtli/vIHxA1tg4JgV/&#10;5GE2fXyYYK7dhdfUb0IlYgj7HBWYENpcSl8asugT1xJH7uQ6iyHCrpK6w0sMt40cpWkmLdYcGwy2&#10;tDBUnje/VoH9XP98X3fHYnEt9oYPH1m/WmVKPT8N8zGIQEO4i2/uL63gLY6NX+IPkN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GAWLDAAAA2wAAAA8AAAAAAAAAAAAA&#10;AAAAoQIAAGRycy9kb3ducmV2LnhtbFBLBQYAAAAABAAEAPkAAACRAwAAAAA=&#10;" strokecolor="#e31b23" strokeweight=".5pt">
                  <v:stroke endarrow="block" joinstyle="miter"/>
                </v:shape>
                <v:roundrect id="Zaoblený obdélník 59" o:spid="_x0000_s1066" style="position:absolute;left:571;top:71437;width:14976;height:460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pkMMQA&#10;AADbAAAADwAAAGRycy9kb3ducmV2LnhtbESPQYvCMBSE7wv+h/CEvWmqYNFqFBGERRZhVVBvz+bZ&#10;ljYvpcna+u/NgrDHYWa+YRarzlTiQY0rLCsYDSMQxKnVBWcKTsftYArCeWSNlWVS8CQHq2XvY4GJ&#10;ti3/0OPgMxEg7BJUkHtfJ1K6NCeDbmhr4uDdbWPQB9lkUjfYBrip5DiKYmmw4LCQY02bnNLy8GsU&#10;xLs938rb9XtdXHz73JyjeHoulfrsd+s5CE+d/w+/219awWQGf1/CD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qZDDEAAAA2wAAAA8AAAAAAAAAAAAAAAAAmAIAAGRycy9k&#10;b3ducmV2LnhtbFBLBQYAAAAABAAEAPUAAACJAwAAAAA=&#10;" fillcolor="#b9e0f7" strokecolor="#87a4b6" strokeweight="1pt">
                  <v:stroke joinstyle="miter"/>
                  <v:textbox>
                    <w:txbxContent>
                      <w:p w14:paraId="0F2903D2" w14:textId="77777777" w:rsidR="00034AD2" w:rsidRPr="00D3208C" w:rsidRDefault="00034AD2" w:rsidP="00853FA9">
                        <w:pPr>
                          <w:spacing w:after="0" w:line="240" w:lineRule="auto"/>
                          <w:jc w:val="center"/>
                          <w:rPr>
                            <w:sz w:val="20"/>
                          </w:rPr>
                        </w:pPr>
                        <w:r w:rsidRPr="00D3208C">
                          <w:rPr>
                            <w:sz w:val="20"/>
                          </w:rPr>
                          <w:t>Výsledek neidentifikoval výraznou změnu</w:t>
                        </w:r>
                      </w:p>
                    </w:txbxContent>
                  </v:textbox>
                </v:roundrect>
                <v:shape id="Přímá spojnice se šipkou 60" o:spid="_x0000_s1067" type="#_x0000_t32" style="position:absolute;left:6572;top:67627;width:457;height:382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W9ArwAAADbAAAADwAAAGRycy9kb3ducmV2LnhtbERPSwrCMBDdC94hjODOpgoWqUYRRRBx&#10;4+cAQzO2pc2kNKmttzcLweXj/Te7wdTiTa0rLSuYRzEI4szqknMFz8dptgLhPLLG2jIp+JCD3XY8&#10;2mCqbc83et99LkIIuxQVFN43qZQuK8igi2xDHLiXbQ36ANtc6hb7EG5quYjjRBosOTQU2NChoKy6&#10;d0bB8dDdOvSf5LKs8qoZ6Do/9plS08mwX4PwNPi/+Oc+awVJWB++hB8gt1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B0W9ArwAAADbAAAADwAAAAAAAAAAAAAAAAChAgAA&#10;ZHJzL2Rvd25yZXYueG1sUEsFBgAAAAAEAAQA+QAAAIoDAAAAAA==&#10;" strokecolor="#e31b23" strokeweight=".5pt">
                  <v:stroke endarrow="block" joinstyle="miter"/>
                </v:shape>
                <v:roundrect id="Zaoblený obdélník 63" o:spid="_x0000_s1068" style="position:absolute;left:17430;top:71437;width:14976;height:460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6ZZ8QA&#10;AADbAAAADwAAAGRycy9kb3ducmV2LnhtbESPQWuDQBSE74X+h+UFcqtrUpBgswlBKIRQAk0Dtren&#10;+6qi+1bcjZp/3y0Uehxmvhlmu59NJ0YaXGNZwSqKQRCXVjdcKbh+vD5tQDiPrLGzTAru5GC/e3zY&#10;YqrtxO80XnwlQgm7FBXU3veplK6syaCLbE8cvG87GPRBDpXUA06h3HRyHceJNNhwWKixp6ymsr3c&#10;jILkdOaiLb7eDs2nn+5ZHiebvFVquZgPLyA8zf4//EcfdeCe4fdL+AF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umWfEAAAA2wAAAA8AAAAAAAAAAAAAAAAAmAIAAGRycy9k&#10;b3ducmV2LnhtbFBLBQYAAAAABAAEAPUAAACJAwAAAAA=&#10;" fillcolor="#b9e0f7" strokecolor="#87a4b6" strokeweight="1pt">
                  <v:stroke joinstyle="miter"/>
                  <v:textbox>
                    <w:txbxContent>
                      <w:p w14:paraId="73D3E9B1" w14:textId="77777777" w:rsidR="00034AD2" w:rsidRPr="00D3208C" w:rsidRDefault="00034AD2" w:rsidP="00853FA9">
                        <w:pPr>
                          <w:spacing w:after="0" w:line="240" w:lineRule="auto"/>
                          <w:jc w:val="center"/>
                          <w:rPr>
                            <w:sz w:val="20"/>
                          </w:rPr>
                        </w:pPr>
                        <w:r>
                          <w:rPr>
                            <w:sz w:val="20"/>
                          </w:rPr>
                          <w:t xml:space="preserve">Výsledek </w:t>
                        </w:r>
                        <w:r w:rsidRPr="00D3208C">
                          <w:rPr>
                            <w:sz w:val="20"/>
                          </w:rPr>
                          <w:t>identifikoval výraznou změnu</w:t>
                        </w:r>
                      </w:p>
                    </w:txbxContent>
                  </v:textbox>
                </v:roundrect>
                <v:shape id="Přímá spojnice se šipkou 64" o:spid="_x0000_s1069" type="#_x0000_t32" style="position:absolute;left:16382;top:67912;width:6163;height:34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fB2sUAAADbAAAADwAAAGRycy9kb3ducmV2LnhtbESPQWvCQBSE74X+h+UVvNVNpQSJriLS&#10;Sg+WohH1+Mw+s6HZtyG7xtRf7xYKPQ4z8w0znfe2Fh21vnKs4GWYgCAunK64VLDL35/HIHxA1lg7&#10;JgU/5GE+e3yYYqbdlTfUbUMpIoR9hgpMCE0mpS8MWfRD1xBH7+xaiyHKtpS6xWuE21qOkiSVFiuO&#10;CwYbWhoqvrcXq8CuNl+ft/0pX97yg+HjW9qt16lSg6d+MQERqA//4b/2h1aQvsLvl/gD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2fB2sUAAADbAAAADwAAAAAAAAAA&#10;AAAAAAChAgAAZHJzL2Rvd25yZXYueG1sUEsFBgAAAAAEAAQA+QAAAJMDAAAAAA==&#10;" strokecolor="#e31b23" strokeweight=".5pt">
                  <v:stroke endarrow="block" joinstyle="miter"/>
                </v:shape>
                <v:roundrect id="Zaoblený obdélník 67" o:spid="_x0000_s1070" style="position:absolute;left:1428;top:78962;width:13024;height:36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A+/McA&#10;AADbAAAADwAAAGRycy9kb3ducmV2LnhtbESP3WrCQBSE7wt9h+UUelN0Y4Uo0VWKWCiV4k8UvDxk&#10;T5PF7NmQ3Wr06d1CoZfDzHzDTOedrcWZWm8cKxj0ExDEhdOGSwX7/L03BuEDssbaMSm4kof57PFh&#10;ipl2F97SeRdKESHsM1RQhdBkUvqiIou+7xri6H271mKIsi2lbvES4baWr0mSSouG40KFDS0qKk67&#10;H6vg8/CV5sPli8nXyz0dS7M63TYrpZ6furcJiEBd+A//tT+0gnQEv1/iD5C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cAPvzHAAAA2wAAAA8AAAAAAAAAAAAAAAAAmAIAAGRy&#10;cy9kb3ducmV2LnhtbFBLBQYAAAAABAAEAPUAAACMAwAAAAA=&#10;" fillcolor="#de9c9d" strokecolor="#b5121b" strokeweight=".5pt">
                  <v:fill color2="#d2797a" rotate="t" colors="0 #de9c9d;.5 #d48f90;1 #d2797a" focus="100%" type="gradient">
                    <o:fill v:ext="view" type="gradientUnscaled"/>
                  </v:fill>
                  <v:stroke joinstyle="miter"/>
                  <v:textbox>
                    <w:txbxContent>
                      <w:p w14:paraId="20190F70" w14:textId="77777777" w:rsidR="00034AD2" w:rsidRPr="00933D43" w:rsidRDefault="00034AD2" w:rsidP="007D785A">
                        <w:pPr>
                          <w:jc w:val="center"/>
                          <w:rPr>
                            <w:sz w:val="20"/>
                          </w:rPr>
                        </w:pPr>
                        <w:r w:rsidRPr="00933D43">
                          <w:rPr>
                            <w:sz w:val="20"/>
                          </w:rPr>
                          <w:t>Ukončení kontroly</w:t>
                        </w:r>
                      </w:p>
                    </w:txbxContent>
                  </v:textbox>
                </v:roundrect>
                <v:shape id="Přímá spojnice se šipkou 68" o:spid="_x0000_s1071" type="#_x0000_t32" style="position:absolute;left:6571;top:75912;width:1369;height:30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rL38MAAADbAAAADwAAAGRycy9kb3ducmV2LnhtbERPz2vCMBS+D/Y/hDfwNtN5KKMzyihT&#10;PHQM7Zgen82zKWteShNr519vDsKOH9/v+XK0rRio941jBS/TBARx5XTDtYLvcvX8CsIHZI2tY1Lw&#10;Rx6Wi8eHOWbaXXhLwy7UIoawz1CBCaHLpPSVIYt+6jriyJ1cbzFE2NdS93iJ4baVsyRJpcWGY4PB&#10;jnJD1e/ubBXY9fbr8/pzLPNruTd8+EiHokiVmjyN728gAo3hX3x3b7SCNI6NX+IPkI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Iqy9/DAAAA2wAAAA8AAAAAAAAAAAAA&#10;AAAAoQIAAGRycy9kb3ducmV2LnhtbFBLBQYAAAAABAAEAPkAAACRAwAAAAA=&#10;" strokecolor="#e31b23" strokeweight=".5pt">
                  <v:stroke endarrow="block" joinstyle="miter"/>
                </v:shape>
                <v:roundrect id="Zaoblený obdélník 69" o:spid="_x0000_s1072" style="position:absolute;left:15525;top:78295;width:22816;height:640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MPFccA&#10;AADbAAAADwAAAGRycy9kb3ducmV2LnhtbESP3WrCQBSE7wt9h+UUelN0Y4Wg0VWKWCiV4k8UvDxk&#10;T5PF7NmQ3Wr06d1CoZfDzHzDTOedrcWZWm8cKxj0ExDEhdOGSwX7/L03AuEDssbaMSm4kof57PFh&#10;ipl2F97SeRdKESHsM1RQhdBkUvqiIou+7xri6H271mKIsi2lbvES4baWr0mSSouG40KFDS0qKk67&#10;H6vg8/CV5sPli8nXyz0dS7M63TYrpZ6furcJiEBd+A//tT+0gnQMv1/iD5C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nTDxXHAAAA2wAAAA8AAAAAAAAAAAAAAAAAmAIAAGRy&#10;cy9kb3ducmV2LnhtbFBLBQYAAAAABAAEAPUAAACMAwAAAAA=&#10;" fillcolor="#de9c9d" strokecolor="#b5121b" strokeweight=".5pt">
                  <v:fill color2="#d2797a" rotate="t" colors="0 #de9c9d;.5 #d48f90;1 #d2797a" focus="100%" type="gradient">
                    <o:fill v:ext="view" type="gradientUnscaled"/>
                  </v:fill>
                  <v:stroke joinstyle="miter"/>
                  <v:textbox>
                    <w:txbxContent>
                      <w:p w14:paraId="5772415E" w14:textId="77777777" w:rsidR="00034AD2" w:rsidRPr="00933D43" w:rsidRDefault="00034AD2" w:rsidP="00853FA9">
                        <w:pPr>
                          <w:spacing w:after="0" w:line="240" w:lineRule="auto"/>
                          <w:jc w:val="center"/>
                          <w:rPr>
                            <w:sz w:val="20"/>
                          </w:rPr>
                        </w:pPr>
                        <w:r w:rsidRPr="00933D43">
                          <w:rPr>
                            <w:sz w:val="20"/>
                          </w:rPr>
                          <w:t>Postup podle zdroje OZE s podporou elektřiny z OZE a další podporou (kumulace podpor)</w:t>
                        </w:r>
                      </w:p>
                      <w:p w14:paraId="5542A0EB" w14:textId="77777777" w:rsidR="00034AD2" w:rsidRDefault="00034AD2" w:rsidP="007D785A">
                        <w:pPr>
                          <w:jc w:val="center"/>
                        </w:pPr>
                      </w:p>
                    </w:txbxContent>
                  </v:textbox>
                </v:roundrect>
                <v:shape id="Přímá spojnice se šipkou 71" o:spid="_x0000_s1073" type="#_x0000_t32" style="position:absolute;left:24479;top:75914;width:216;height:23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n0n8YAAADbAAAADwAAAGRycy9kb3ducmV2LnhtbESPQWvCQBSE74L/YXmCN93YQ5TUVYq0&#10;xYNFNKXt8TX7mg3Nvg3ZbYz+elcQehxm5htmue5tLTpqfeVYwWyagCAunK64VPCev0wWIHxA1lg7&#10;JgVn8rBeDQdLzLQ78YG6YyhFhLDPUIEJocmk9IUhi37qGuLo/bjWYoiyLaVu8RThtpYPSZJKixXH&#10;BYMNbQwVv8c/q8C+HvZvl4/vfHPJPw1/PafdbpcqNR71T48gAvXhP3xvb7WC+QxuX+IPkK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J9J/GAAAA2wAAAA8AAAAAAAAA&#10;AAAAAAAAoQIAAGRycy9kb3ducmV2LnhtbFBLBQYAAAAABAAEAPkAAACUAwAAAAA=&#10;" strokecolor="#e31b23" strokeweight=".5pt">
                  <v:stroke endarrow="block" joinstyle="miter"/>
                </v:shape>
                <v:shape id="Přímá spojnice se šipkou 72" o:spid="_x0000_s1074" type="#_x0000_t32" style="position:absolute;left:49625;top:78295;width:15466;height:245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IQM78AAADbAAAADwAAAGRycy9kb3ducmV2LnhtbESPzQrCMBCE74LvEFbwpqmCP1SjiCKI&#10;ePHnAZZmbUubTWlSW9/eCILHYWa+YdbbzpTiRbXLLSuYjCMQxInVOacKHvfjaAnCeWSNpWVS8CYH&#10;202/t8ZY25av9Lr5VAQIuxgVZN5XsZQuycigG9uKOHhPWxv0Qdap1DW2AW5KOY2iuTSYc1jIsKJ9&#10;Rklxa4yCw765Nujf8/OsSIuqo8vk0CZKDQfdbgXCU+f/4V/7pBUspvD9En6A3Hw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QIQM78AAADbAAAADwAAAAAAAAAAAAAAAACh&#10;AgAAZHJzL2Rvd25yZXYueG1sUEsFBgAAAAAEAAQA+QAAAI0DAAAAAA==&#10;" strokecolor="#e31b23" strokeweight=".5pt">
                  <v:stroke endarrow="block" joinstyle="miter"/>
                </v:shape>
              </v:group>
            </w:pict>
          </mc:Fallback>
        </mc:AlternateContent>
      </w:r>
    </w:p>
    <w:p w14:paraId="5B976CAA" w14:textId="1BDE6B11" w:rsidR="007D785A" w:rsidRPr="007D785A" w:rsidRDefault="007D785A" w:rsidP="007D785A">
      <w:pPr>
        <w:overflowPunct/>
        <w:autoSpaceDE/>
        <w:autoSpaceDN/>
        <w:adjustRightInd/>
        <w:spacing w:line="293" w:lineRule="auto"/>
        <w:textAlignment w:val="auto"/>
        <w:rPr>
          <w:rFonts w:ascii="Calibri" w:eastAsia="Calibri" w:hAnsi="Calibri"/>
          <w:color w:val="000000"/>
          <w:szCs w:val="22"/>
          <w:lang w:eastAsia="en-US"/>
        </w:rPr>
      </w:pPr>
    </w:p>
    <w:p w14:paraId="5B309FA1" w14:textId="3FA36398" w:rsidR="007D785A" w:rsidRPr="007D785A" w:rsidRDefault="007D785A" w:rsidP="007D785A">
      <w:pPr>
        <w:overflowPunct/>
        <w:autoSpaceDE/>
        <w:autoSpaceDN/>
        <w:adjustRightInd/>
        <w:spacing w:line="293" w:lineRule="auto"/>
        <w:textAlignment w:val="auto"/>
        <w:rPr>
          <w:rFonts w:ascii="Calibri" w:eastAsia="Calibri" w:hAnsi="Calibri"/>
          <w:color w:val="000000"/>
          <w:szCs w:val="22"/>
          <w:lang w:eastAsia="en-US"/>
        </w:rPr>
      </w:pPr>
    </w:p>
    <w:p w14:paraId="7368D693" w14:textId="637A23CB" w:rsidR="007D785A" w:rsidRPr="007D785A" w:rsidRDefault="007D785A" w:rsidP="007D785A">
      <w:pPr>
        <w:overflowPunct/>
        <w:autoSpaceDE/>
        <w:autoSpaceDN/>
        <w:adjustRightInd/>
        <w:spacing w:line="293" w:lineRule="auto"/>
        <w:textAlignment w:val="auto"/>
        <w:rPr>
          <w:rFonts w:ascii="Calibri" w:eastAsia="Calibri" w:hAnsi="Calibri"/>
          <w:color w:val="000000"/>
          <w:szCs w:val="22"/>
          <w:lang w:eastAsia="en-US"/>
        </w:rPr>
      </w:pPr>
    </w:p>
    <w:p w14:paraId="17FCC59C" w14:textId="49685521" w:rsidR="007D785A" w:rsidRDefault="007D785A" w:rsidP="00E95EAA">
      <w:pPr>
        <w:pStyle w:val="Odstavecseseznamem"/>
        <w:tabs>
          <w:tab w:val="left" w:pos="426"/>
        </w:tabs>
        <w:overflowPunct/>
        <w:autoSpaceDE/>
        <w:autoSpaceDN/>
        <w:adjustRightInd/>
        <w:spacing w:after="0" w:line="240" w:lineRule="auto"/>
        <w:ind w:left="284" w:hanging="284"/>
        <w:jc w:val="both"/>
        <w:textAlignment w:val="auto"/>
        <w:rPr>
          <w:b/>
          <w:sz w:val="26"/>
          <w:szCs w:val="26"/>
        </w:rPr>
      </w:pPr>
    </w:p>
    <w:p w14:paraId="57359D0E" w14:textId="76187AAA" w:rsidR="007D785A" w:rsidRDefault="007D785A" w:rsidP="00E95EAA">
      <w:pPr>
        <w:pStyle w:val="Odstavecseseznamem"/>
        <w:tabs>
          <w:tab w:val="left" w:pos="426"/>
        </w:tabs>
        <w:overflowPunct/>
        <w:autoSpaceDE/>
        <w:autoSpaceDN/>
        <w:adjustRightInd/>
        <w:spacing w:after="0" w:line="240" w:lineRule="auto"/>
        <w:ind w:left="284" w:hanging="284"/>
        <w:jc w:val="both"/>
        <w:textAlignment w:val="auto"/>
        <w:rPr>
          <w:b/>
          <w:sz w:val="26"/>
          <w:szCs w:val="26"/>
        </w:rPr>
      </w:pPr>
    </w:p>
    <w:p w14:paraId="3ED70272" w14:textId="6BDA1133" w:rsidR="007D785A" w:rsidRDefault="007D785A" w:rsidP="00E95EAA">
      <w:pPr>
        <w:pStyle w:val="Odstavecseseznamem"/>
        <w:tabs>
          <w:tab w:val="left" w:pos="426"/>
        </w:tabs>
        <w:overflowPunct/>
        <w:autoSpaceDE/>
        <w:autoSpaceDN/>
        <w:adjustRightInd/>
        <w:spacing w:after="0" w:line="240" w:lineRule="auto"/>
        <w:ind w:left="284" w:hanging="284"/>
        <w:jc w:val="both"/>
        <w:textAlignment w:val="auto"/>
        <w:rPr>
          <w:b/>
          <w:sz w:val="26"/>
          <w:szCs w:val="26"/>
        </w:rPr>
      </w:pPr>
    </w:p>
    <w:p w14:paraId="59859984" w14:textId="77777777" w:rsidR="007D785A" w:rsidRDefault="007D785A" w:rsidP="00E95EAA">
      <w:pPr>
        <w:pStyle w:val="Odstavecseseznamem"/>
        <w:tabs>
          <w:tab w:val="left" w:pos="426"/>
        </w:tabs>
        <w:overflowPunct/>
        <w:autoSpaceDE/>
        <w:autoSpaceDN/>
        <w:adjustRightInd/>
        <w:spacing w:after="0" w:line="240" w:lineRule="auto"/>
        <w:ind w:left="284" w:hanging="284"/>
        <w:jc w:val="both"/>
        <w:textAlignment w:val="auto"/>
        <w:rPr>
          <w:b/>
          <w:sz w:val="26"/>
          <w:szCs w:val="26"/>
        </w:rPr>
      </w:pPr>
    </w:p>
    <w:p w14:paraId="755F4F71" w14:textId="77777777" w:rsidR="007D785A" w:rsidRDefault="007D785A" w:rsidP="00E95EAA">
      <w:pPr>
        <w:pStyle w:val="Odstavecseseznamem"/>
        <w:tabs>
          <w:tab w:val="left" w:pos="426"/>
        </w:tabs>
        <w:overflowPunct/>
        <w:autoSpaceDE/>
        <w:autoSpaceDN/>
        <w:adjustRightInd/>
        <w:spacing w:after="0" w:line="240" w:lineRule="auto"/>
        <w:ind w:left="284" w:hanging="284"/>
        <w:jc w:val="both"/>
        <w:textAlignment w:val="auto"/>
        <w:rPr>
          <w:b/>
          <w:sz w:val="26"/>
          <w:szCs w:val="26"/>
        </w:rPr>
      </w:pPr>
    </w:p>
    <w:p w14:paraId="647790DE" w14:textId="77777777" w:rsidR="007D785A" w:rsidRDefault="007D785A" w:rsidP="00E95EAA">
      <w:pPr>
        <w:pStyle w:val="Odstavecseseznamem"/>
        <w:tabs>
          <w:tab w:val="left" w:pos="426"/>
        </w:tabs>
        <w:overflowPunct/>
        <w:autoSpaceDE/>
        <w:autoSpaceDN/>
        <w:adjustRightInd/>
        <w:spacing w:after="0" w:line="240" w:lineRule="auto"/>
        <w:ind w:left="284" w:hanging="284"/>
        <w:jc w:val="both"/>
        <w:textAlignment w:val="auto"/>
        <w:rPr>
          <w:b/>
          <w:sz w:val="26"/>
          <w:szCs w:val="26"/>
        </w:rPr>
      </w:pPr>
    </w:p>
    <w:p w14:paraId="59FD875D" w14:textId="77777777" w:rsidR="007D785A" w:rsidRDefault="007D785A" w:rsidP="00E95EAA">
      <w:pPr>
        <w:pStyle w:val="Odstavecseseznamem"/>
        <w:tabs>
          <w:tab w:val="left" w:pos="426"/>
        </w:tabs>
        <w:overflowPunct/>
        <w:autoSpaceDE/>
        <w:autoSpaceDN/>
        <w:adjustRightInd/>
        <w:spacing w:after="0" w:line="240" w:lineRule="auto"/>
        <w:ind w:left="284" w:hanging="284"/>
        <w:jc w:val="both"/>
        <w:textAlignment w:val="auto"/>
        <w:rPr>
          <w:b/>
          <w:sz w:val="26"/>
          <w:szCs w:val="26"/>
        </w:rPr>
      </w:pPr>
    </w:p>
    <w:p w14:paraId="6E3ED825" w14:textId="77777777" w:rsidR="007D785A" w:rsidRDefault="007D785A" w:rsidP="00E95EAA">
      <w:pPr>
        <w:pStyle w:val="Odstavecseseznamem"/>
        <w:tabs>
          <w:tab w:val="left" w:pos="426"/>
        </w:tabs>
        <w:overflowPunct/>
        <w:autoSpaceDE/>
        <w:autoSpaceDN/>
        <w:adjustRightInd/>
        <w:spacing w:after="0" w:line="240" w:lineRule="auto"/>
        <w:ind w:left="284" w:hanging="284"/>
        <w:jc w:val="both"/>
        <w:textAlignment w:val="auto"/>
        <w:rPr>
          <w:b/>
          <w:sz w:val="26"/>
          <w:szCs w:val="26"/>
        </w:rPr>
      </w:pPr>
    </w:p>
    <w:p w14:paraId="7BF6E9B7" w14:textId="77777777" w:rsidR="007D785A" w:rsidRDefault="007D785A" w:rsidP="00E95EAA">
      <w:pPr>
        <w:pStyle w:val="Odstavecseseznamem"/>
        <w:tabs>
          <w:tab w:val="left" w:pos="426"/>
        </w:tabs>
        <w:overflowPunct/>
        <w:autoSpaceDE/>
        <w:autoSpaceDN/>
        <w:adjustRightInd/>
        <w:spacing w:after="0" w:line="240" w:lineRule="auto"/>
        <w:ind w:left="284" w:hanging="284"/>
        <w:jc w:val="both"/>
        <w:textAlignment w:val="auto"/>
        <w:rPr>
          <w:b/>
          <w:sz w:val="26"/>
          <w:szCs w:val="26"/>
        </w:rPr>
      </w:pPr>
    </w:p>
    <w:p w14:paraId="4A710F6F" w14:textId="77777777" w:rsidR="007D785A" w:rsidRDefault="007D785A" w:rsidP="00E95EAA">
      <w:pPr>
        <w:pStyle w:val="Odstavecseseznamem"/>
        <w:tabs>
          <w:tab w:val="left" w:pos="426"/>
        </w:tabs>
        <w:overflowPunct/>
        <w:autoSpaceDE/>
        <w:autoSpaceDN/>
        <w:adjustRightInd/>
        <w:spacing w:after="0" w:line="240" w:lineRule="auto"/>
        <w:ind w:left="284" w:hanging="284"/>
        <w:jc w:val="both"/>
        <w:textAlignment w:val="auto"/>
        <w:rPr>
          <w:b/>
          <w:sz w:val="26"/>
          <w:szCs w:val="26"/>
        </w:rPr>
      </w:pPr>
    </w:p>
    <w:p w14:paraId="6E69FC33" w14:textId="77777777" w:rsidR="007D785A" w:rsidRDefault="007D785A" w:rsidP="00E95EAA">
      <w:pPr>
        <w:pStyle w:val="Odstavecseseznamem"/>
        <w:tabs>
          <w:tab w:val="left" w:pos="426"/>
        </w:tabs>
        <w:overflowPunct/>
        <w:autoSpaceDE/>
        <w:autoSpaceDN/>
        <w:adjustRightInd/>
        <w:spacing w:after="0" w:line="240" w:lineRule="auto"/>
        <w:ind w:left="284" w:hanging="284"/>
        <w:jc w:val="both"/>
        <w:textAlignment w:val="auto"/>
        <w:rPr>
          <w:b/>
          <w:sz w:val="26"/>
          <w:szCs w:val="26"/>
        </w:rPr>
      </w:pPr>
    </w:p>
    <w:p w14:paraId="72FD196D" w14:textId="77777777" w:rsidR="007D785A" w:rsidRDefault="007D785A" w:rsidP="00E95EAA">
      <w:pPr>
        <w:pStyle w:val="Odstavecseseznamem"/>
        <w:tabs>
          <w:tab w:val="left" w:pos="426"/>
        </w:tabs>
        <w:overflowPunct/>
        <w:autoSpaceDE/>
        <w:autoSpaceDN/>
        <w:adjustRightInd/>
        <w:spacing w:after="0" w:line="240" w:lineRule="auto"/>
        <w:ind w:left="284" w:hanging="284"/>
        <w:jc w:val="both"/>
        <w:textAlignment w:val="auto"/>
        <w:rPr>
          <w:b/>
          <w:sz w:val="26"/>
          <w:szCs w:val="26"/>
        </w:rPr>
      </w:pPr>
    </w:p>
    <w:p w14:paraId="72C54FD3" w14:textId="77777777" w:rsidR="007D785A" w:rsidRDefault="007D785A" w:rsidP="00E95EAA">
      <w:pPr>
        <w:pStyle w:val="Odstavecseseznamem"/>
        <w:tabs>
          <w:tab w:val="left" w:pos="426"/>
        </w:tabs>
        <w:overflowPunct/>
        <w:autoSpaceDE/>
        <w:autoSpaceDN/>
        <w:adjustRightInd/>
        <w:spacing w:after="0" w:line="240" w:lineRule="auto"/>
        <w:ind w:left="284" w:hanging="284"/>
        <w:jc w:val="both"/>
        <w:textAlignment w:val="auto"/>
        <w:rPr>
          <w:b/>
          <w:sz w:val="26"/>
          <w:szCs w:val="26"/>
        </w:rPr>
      </w:pPr>
    </w:p>
    <w:p w14:paraId="16943AC8" w14:textId="77777777" w:rsidR="007D785A" w:rsidRDefault="007D785A" w:rsidP="00E95EAA">
      <w:pPr>
        <w:pStyle w:val="Odstavecseseznamem"/>
        <w:tabs>
          <w:tab w:val="left" w:pos="426"/>
        </w:tabs>
        <w:overflowPunct/>
        <w:autoSpaceDE/>
        <w:autoSpaceDN/>
        <w:adjustRightInd/>
        <w:spacing w:after="0" w:line="240" w:lineRule="auto"/>
        <w:ind w:left="284" w:hanging="284"/>
        <w:jc w:val="both"/>
        <w:textAlignment w:val="auto"/>
        <w:rPr>
          <w:b/>
          <w:sz w:val="26"/>
          <w:szCs w:val="26"/>
        </w:rPr>
      </w:pPr>
    </w:p>
    <w:p w14:paraId="4F9FB823" w14:textId="77777777" w:rsidR="007D785A" w:rsidRDefault="007D785A" w:rsidP="00E95EAA">
      <w:pPr>
        <w:pStyle w:val="Odstavecseseznamem"/>
        <w:tabs>
          <w:tab w:val="left" w:pos="426"/>
        </w:tabs>
        <w:overflowPunct/>
        <w:autoSpaceDE/>
        <w:autoSpaceDN/>
        <w:adjustRightInd/>
        <w:spacing w:after="0" w:line="240" w:lineRule="auto"/>
        <w:ind w:left="284" w:hanging="284"/>
        <w:jc w:val="both"/>
        <w:textAlignment w:val="auto"/>
        <w:rPr>
          <w:b/>
          <w:sz w:val="26"/>
          <w:szCs w:val="26"/>
        </w:rPr>
      </w:pPr>
    </w:p>
    <w:p w14:paraId="3D67FA5F" w14:textId="636B0F2A" w:rsidR="007D785A" w:rsidRDefault="007D785A" w:rsidP="00E95EAA">
      <w:pPr>
        <w:pStyle w:val="Odstavecseseznamem"/>
        <w:tabs>
          <w:tab w:val="left" w:pos="426"/>
        </w:tabs>
        <w:overflowPunct/>
        <w:autoSpaceDE/>
        <w:autoSpaceDN/>
        <w:adjustRightInd/>
        <w:spacing w:after="0" w:line="240" w:lineRule="auto"/>
        <w:ind w:left="284" w:hanging="284"/>
        <w:jc w:val="both"/>
        <w:textAlignment w:val="auto"/>
        <w:rPr>
          <w:b/>
          <w:sz w:val="26"/>
          <w:szCs w:val="26"/>
        </w:rPr>
      </w:pPr>
    </w:p>
    <w:p w14:paraId="58FCD851" w14:textId="77777777" w:rsidR="007D785A" w:rsidRDefault="007D785A" w:rsidP="00E95EAA">
      <w:pPr>
        <w:pStyle w:val="Odstavecseseznamem"/>
        <w:tabs>
          <w:tab w:val="left" w:pos="426"/>
        </w:tabs>
        <w:overflowPunct/>
        <w:autoSpaceDE/>
        <w:autoSpaceDN/>
        <w:adjustRightInd/>
        <w:spacing w:after="0" w:line="240" w:lineRule="auto"/>
        <w:ind w:left="284" w:hanging="284"/>
        <w:jc w:val="both"/>
        <w:textAlignment w:val="auto"/>
        <w:rPr>
          <w:b/>
          <w:sz w:val="26"/>
          <w:szCs w:val="26"/>
        </w:rPr>
      </w:pPr>
    </w:p>
    <w:p w14:paraId="7703720A" w14:textId="77777777" w:rsidR="007D785A" w:rsidRDefault="007D785A" w:rsidP="00E95EAA">
      <w:pPr>
        <w:pStyle w:val="Odstavecseseznamem"/>
        <w:tabs>
          <w:tab w:val="left" w:pos="426"/>
        </w:tabs>
        <w:overflowPunct/>
        <w:autoSpaceDE/>
        <w:autoSpaceDN/>
        <w:adjustRightInd/>
        <w:spacing w:after="0" w:line="240" w:lineRule="auto"/>
        <w:ind w:left="284" w:hanging="284"/>
        <w:jc w:val="both"/>
        <w:textAlignment w:val="auto"/>
        <w:rPr>
          <w:b/>
          <w:sz w:val="26"/>
          <w:szCs w:val="26"/>
        </w:rPr>
      </w:pPr>
    </w:p>
    <w:p w14:paraId="5A3AE8EF" w14:textId="3E042175" w:rsidR="007D785A" w:rsidRDefault="007D785A" w:rsidP="00E95EAA">
      <w:pPr>
        <w:pStyle w:val="Odstavecseseznamem"/>
        <w:tabs>
          <w:tab w:val="left" w:pos="426"/>
        </w:tabs>
        <w:overflowPunct/>
        <w:autoSpaceDE/>
        <w:autoSpaceDN/>
        <w:adjustRightInd/>
        <w:spacing w:after="0" w:line="240" w:lineRule="auto"/>
        <w:ind w:left="284" w:hanging="284"/>
        <w:jc w:val="both"/>
        <w:textAlignment w:val="auto"/>
        <w:rPr>
          <w:b/>
          <w:sz w:val="26"/>
          <w:szCs w:val="26"/>
        </w:rPr>
      </w:pPr>
    </w:p>
    <w:p w14:paraId="21070A0B" w14:textId="77777777" w:rsidR="007D785A" w:rsidRDefault="007D785A" w:rsidP="00E95EAA">
      <w:pPr>
        <w:pStyle w:val="Odstavecseseznamem"/>
        <w:tabs>
          <w:tab w:val="left" w:pos="426"/>
        </w:tabs>
        <w:overflowPunct/>
        <w:autoSpaceDE/>
        <w:autoSpaceDN/>
        <w:adjustRightInd/>
        <w:spacing w:after="0" w:line="240" w:lineRule="auto"/>
        <w:ind w:left="284" w:hanging="284"/>
        <w:jc w:val="both"/>
        <w:textAlignment w:val="auto"/>
        <w:rPr>
          <w:b/>
          <w:sz w:val="26"/>
          <w:szCs w:val="26"/>
        </w:rPr>
      </w:pPr>
    </w:p>
    <w:p w14:paraId="26190D15" w14:textId="77777777" w:rsidR="007D785A" w:rsidRDefault="007D785A" w:rsidP="00E95EAA">
      <w:pPr>
        <w:pStyle w:val="Odstavecseseznamem"/>
        <w:tabs>
          <w:tab w:val="left" w:pos="426"/>
        </w:tabs>
        <w:overflowPunct/>
        <w:autoSpaceDE/>
        <w:autoSpaceDN/>
        <w:adjustRightInd/>
        <w:spacing w:after="0" w:line="240" w:lineRule="auto"/>
        <w:ind w:left="284" w:hanging="284"/>
        <w:jc w:val="both"/>
        <w:textAlignment w:val="auto"/>
        <w:rPr>
          <w:b/>
          <w:sz w:val="26"/>
          <w:szCs w:val="26"/>
        </w:rPr>
      </w:pPr>
    </w:p>
    <w:p w14:paraId="2A17A43D" w14:textId="4E459A85" w:rsidR="007D785A" w:rsidRDefault="007D785A" w:rsidP="00E95EAA">
      <w:pPr>
        <w:pStyle w:val="Odstavecseseznamem"/>
        <w:tabs>
          <w:tab w:val="left" w:pos="426"/>
        </w:tabs>
        <w:overflowPunct/>
        <w:autoSpaceDE/>
        <w:autoSpaceDN/>
        <w:adjustRightInd/>
        <w:spacing w:after="0" w:line="240" w:lineRule="auto"/>
        <w:ind w:left="284" w:hanging="284"/>
        <w:jc w:val="both"/>
        <w:textAlignment w:val="auto"/>
        <w:rPr>
          <w:b/>
          <w:sz w:val="26"/>
          <w:szCs w:val="26"/>
        </w:rPr>
      </w:pPr>
    </w:p>
    <w:p w14:paraId="6804882E" w14:textId="77777777" w:rsidR="007D785A" w:rsidRDefault="007D785A" w:rsidP="00E95EAA">
      <w:pPr>
        <w:pStyle w:val="Odstavecseseznamem"/>
        <w:tabs>
          <w:tab w:val="left" w:pos="426"/>
        </w:tabs>
        <w:overflowPunct/>
        <w:autoSpaceDE/>
        <w:autoSpaceDN/>
        <w:adjustRightInd/>
        <w:spacing w:after="0" w:line="240" w:lineRule="auto"/>
        <w:ind w:left="284" w:hanging="284"/>
        <w:jc w:val="both"/>
        <w:textAlignment w:val="auto"/>
        <w:rPr>
          <w:b/>
          <w:sz w:val="26"/>
          <w:szCs w:val="26"/>
        </w:rPr>
      </w:pPr>
    </w:p>
    <w:p w14:paraId="10E94C9E" w14:textId="5FBBFE15" w:rsidR="007D785A" w:rsidRDefault="00FA7B72" w:rsidP="00E95EAA">
      <w:pPr>
        <w:pStyle w:val="Odstavecseseznamem"/>
        <w:tabs>
          <w:tab w:val="left" w:pos="426"/>
        </w:tabs>
        <w:overflowPunct/>
        <w:autoSpaceDE/>
        <w:autoSpaceDN/>
        <w:adjustRightInd/>
        <w:spacing w:after="0" w:line="240" w:lineRule="auto"/>
        <w:ind w:left="284" w:hanging="284"/>
        <w:jc w:val="both"/>
        <w:textAlignment w:val="auto"/>
        <w:rPr>
          <w:b/>
          <w:sz w:val="26"/>
          <w:szCs w:val="26"/>
        </w:rPr>
      </w:pPr>
      <w:r w:rsidRPr="007D785A">
        <w:rPr>
          <w:rFonts w:ascii="Calibri" w:eastAsia="Calibri" w:hAnsi="Calibri"/>
          <w:noProof/>
          <w:color w:val="000000"/>
          <w:szCs w:val="22"/>
        </w:rPr>
        <mc:AlternateContent>
          <mc:Choice Requires="wps">
            <w:drawing>
              <wp:anchor distT="0" distB="0" distL="114300" distR="114300" simplePos="0" relativeHeight="251652608" behindDoc="0" locked="0" layoutInCell="1" allowOverlap="1" wp14:anchorId="37DA43D8" wp14:editId="5E492F86">
                <wp:simplePos x="0" y="0"/>
                <wp:positionH relativeFrom="column">
                  <wp:posOffset>6486485</wp:posOffset>
                </wp:positionH>
                <wp:positionV relativeFrom="paragraph">
                  <wp:posOffset>138647</wp:posOffset>
                </wp:positionV>
                <wp:extent cx="1900" cy="1756800"/>
                <wp:effectExtent l="0" t="0" r="36830" b="34290"/>
                <wp:wrapNone/>
                <wp:docPr id="62" name="Přímá spojnice 62"/>
                <wp:cNvGraphicFramePr/>
                <a:graphic xmlns:a="http://schemas.openxmlformats.org/drawingml/2006/main">
                  <a:graphicData uri="http://schemas.microsoft.com/office/word/2010/wordprocessingShape">
                    <wps:wsp>
                      <wps:cNvCnPr/>
                      <wps:spPr>
                        <a:xfrm>
                          <a:off x="0" y="0"/>
                          <a:ext cx="1900" cy="1756800"/>
                        </a:xfrm>
                        <a:prstGeom prst="line">
                          <a:avLst/>
                        </a:prstGeom>
                        <a:noFill/>
                        <a:ln w="6350" cap="flat" cmpd="sng" algn="ctr">
                          <a:solidFill>
                            <a:srgbClr val="E31B23"/>
                          </a:solidFill>
                          <a:prstDash val="solid"/>
                          <a:miter lim="800000"/>
                        </a:ln>
                        <a:effectLst/>
                      </wps:spPr>
                      <wps:bodyPr/>
                    </wps:wsp>
                  </a:graphicData>
                </a:graphic>
                <wp14:sizeRelV relativeFrom="margin">
                  <wp14:pctHeight>0</wp14:pctHeight>
                </wp14:sizeRelV>
              </wp:anchor>
            </w:drawing>
          </mc:Choice>
          <mc:Fallback xmlns:w15="http://schemas.microsoft.com/office/word/2012/wordml">
            <w:pict>
              <v:line w14:anchorId="2C7C43B1" id="Přímá spojnice 62" o:spid="_x0000_s1026" style="position:absolute;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0.75pt,10.9pt" to="510.9pt,1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GQY1QEAAHgDAAAOAAAAZHJzL2Uyb0RvYy54bWysU02O0zAU3iNxB8t7mrTVlCFqOhJThg2C&#10;SsABXh07MfKf/EzTHoUlB+AUI+7FsxvKzLBDZOG83y/v+/yyvjlaww4yovau5fNZzZl0wnfa9S3/&#10;/OnuxTVnmMB1YLyTLT9J5Deb58/WY2jkwg/edDIyAnHYjKHlQ0qhqSoUg7SAMx+ko6Ty0UIiN/ZV&#10;F2EkdGuqRV2vqtHHLkQvJCJFt+ck3xR8paRIH5RCmZhpOc2WyhnLuc9ntVlD00cIgxbTGPAPU1jQ&#10;jj56gdpCAvY16r+grBbRo1dpJrytvFJayMKB2MzrJ2w+DhBk4ULiYLjIhP8PVrw/7CLTXctXC84c&#10;WLqj3c9v9z/s/XeGwX9xNCCjHAk1Bmyo/tbt4uRh2MXM+qiizW/iw45F3NNFXHlMTFBw/qqmCxCU&#10;mL+8Wl2TQyDVn94QMb2V3rJstNxol6lDA4d3mM6lv0ty2Pk7bQzFoTGOjTT/8irjAy2RMpDItIFo&#10;oes5A9PTdooUCyJ6o7vcnZsx9vtbE9kBaEPeLOevF8tpsEdl+dNbwOFcV1K5DBqrEy2w0bblxIme&#10;qdu4nJVlBScCWb+zYtna++5UhKyyR9db1JhWMe/PQ5/shz/M5hcAAAD//wMAUEsDBBQABgAIAAAA&#10;IQANJKD53wAAAAwBAAAPAAAAZHJzL2Rvd25yZXYueG1sTE9NS8NAEL0L/odlBC9iNwlWYsymFKEI&#10;QhFrxes2OyaLu7Mhu21Tf73Tk97mffDmvXoxeScOOEYbSEE+y0AgtcFY6hRs31e3JYiYNBntAqGC&#10;E0ZYNJcXta5MONIbHjapExxCsdIK+pSGSsrY9uh1nIUBibWvMHqdGI6dNKM+crh3ssiye+m1Jf7Q&#10;6wGfemy/N3uv4Mau5ctydP7VbsvVx+lz/fN8Z5S6vpqWjyASTunPDOf6XB0a7rQLezJROMZZkc/Z&#10;q6DIecPZwQxfO2YeyjnIppb/RzS/AAAA//8DAFBLAQItABQABgAIAAAAIQC2gziS/gAAAOEBAAAT&#10;AAAAAAAAAAAAAAAAAAAAAABbQ29udGVudF9UeXBlc10ueG1sUEsBAi0AFAAGAAgAAAAhADj9If/W&#10;AAAAlAEAAAsAAAAAAAAAAAAAAAAALwEAAF9yZWxzLy5yZWxzUEsBAi0AFAAGAAgAAAAhAGDUZBjV&#10;AQAAeAMAAA4AAAAAAAAAAAAAAAAALgIAAGRycy9lMm9Eb2MueG1sUEsBAi0AFAAGAAgAAAAhAA0k&#10;oPnfAAAADAEAAA8AAAAAAAAAAAAAAAAALwQAAGRycy9kb3ducmV2LnhtbFBLBQYAAAAABAAEAPMA&#10;AAA7BQAAAAA=&#10;" strokecolor="#e31b23" strokeweight=".5pt">
                <v:stroke joinstyle="miter"/>
              </v:line>
            </w:pict>
          </mc:Fallback>
        </mc:AlternateContent>
      </w:r>
    </w:p>
    <w:p w14:paraId="612CFF32" w14:textId="77777777" w:rsidR="007D785A" w:rsidRDefault="007D785A" w:rsidP="00E95EAA">
      <w:pPr>
        <w:pStyle w:val="Odstavecseseznamem"/>
        <w:tabs>
          <w:tab w:val="left" w:pos="426"/>
        </w:tabs>
        <w:overflowPunct/>
        <w:autoSpaceDE/>
        <w:autoSpaceDN/>
        <w:adjustRightInd/>
        <w:spacing w:after="0" w:line="240" w:lineRule="auto"/>
        <w:ind w:left="284" w:hanging="284"/>
        <w:jc w:val="both"/>
        <w:textAlignment w:val="auto"/>
        <w:rPr>
          <w:b/>
          <w:sz w:val="26"/>
          <w:szCs w:val="26"/>
        </w:rPr>
      </w:pPr>
    </w:p>
    <w:p w14:paraId="16470B0A" w14:textId="77777777" w:rsidR="007D785A" w:rsidRDefault="007D785A" w:rsidP="00E95EAA">
      <w:pPr>
        <w:pStyle w:val="Odstavecseseznamem"/>
        <w:tabs>
          <w:tab w:val="left" w:pos="426"/>
        </w:tabs>
        <w:overflowPunct/>
        <w:autoSpaceDE/>
        <w:autoSpaceDN/>
        <w:adjustRightInd/>
        <w:spacing w:after="0" w:line="240" w:lineRule="auto"/>
        <w:ind w:left="284" w:hanging="284"/>
        <w:jc w:val="both"/>
        <w:textAlignment w:val="auto"/>
        <w:rPr>
          <w:b/>
          <w:sz w:val="26"/>
          <w:szCs w:val="26"/>
        </w:rPr>
      </w:pPr>
    </w:p>
    <w:p w14:paraId="3E7F4B5C" w14:textId="77777777" w:rsidR="007D785A" w:rsidRDefault="007D785A" w:rsidP="00E95EAA">
      <w:pPr>
        <w:pStyle w:val="Odstavecseseznamem"/>
        <w:tabs>
          <w:tab w:val="left" w:pos="426"/>
        </w:tabs>
        <w:overflowPunct/>
        <w:autoSpaceDE/>
        <w:autoSpaceDN/>
        <w:adjustRightInd/>
        <w:spacing w:after="0" w:line="240" w:lineRule="auto"/>
        <w:ind w:left="284" w:hanging="284"/>
        <w:jc w:val="both"/>
        <w:textAlignment w:val="auto"/>
        <w:rPr>
          <w:b/>
          <w:sz w:val="26"/>
          <w:szCs w:val="26"/>
        </w:rPr>
      </w:pPr>
    </w:p>
    <w:p w14:paraId="347AE243" w14:textId="77777777" w:rsidR="007D785A" w:rsidRDefault="007D785A" w:rsidP="00E95EAA">
      <w:pPr>
        <w:pStyle w:val="Odstavecseseznamem"/>
        <w:tabs>
          <w:tab w:val="left" w:pos="426"/>
        </w:tabs>
        <w:overflowPunct/>
        <w:autoSpaceDE/>
        <w:autoSpaceDN/>
        <w:adjustRightInd/>
        <w:spacing w:after="0" w:line="240" w:lineRule="auto"/>
        <w:ind w:left="284" w:hanging="284"/>
        <w:jc w:val="both"/>
        <w:textAlignment w:val="auto"/>
        <w:rPr>
          <w:b/>
          <w:sz w:val="26"/>
          <w:szCs w:val="26"/>
        </w:rPr>
      </w:pPr>
    </w:p>
    <w:p w14:paraId="6946F602" w14:textId="116B3D8A" w:rsidR="007D785A" w:rsidRDefault="007D785A" w:rsidP="00E95EAA">
      <w:pPr>
        <w:pStyle w:val="Odstavecseseznamem"/>
        <w:tabs>
          <w:tab w:val="left" w:pos="426"/>
        </w:tabs>
        <w:overflowPunct/>
        <w:autoSpaceDE/>
        <w:autoSpaceDN/>
        <w:adjustRightInd/>
        <w:spacing w:after="0" w:line="240" w:lineRule="auto"/>
        <w:ind w:left="284" w:hanging="284"/>
        <w:jc w:val="both"/>
        <w:textAlignment w:val="auto"/>
        <w:rPr>
          <w:b/>
          <w:sz w:val="26"/>
          <w:szCs w:val="26"/>
        </w:rPr>
      </w:pPr>
    </w:p>
    <w:p w14:paraId="6258AA7A" w14:textId="77777777" w:rsidR="007D785A" w:rsidRDefault="007D785A" w:rsidP="00E95EAA">
      <w:pPr>
        <w:pStyle w:val="Odstavecseseznamem"/>
        <w:tabs>
          <w:tab w:val="left" w:pos="426"/>
        </w:tabs>
        <w:overflowPunct/>
        <w:autoSpaceDE/>
        <w:autoSpaceDN/>
        <w:adjustRightInd/>
        <w:spacing w:after="0" w:line="240" w:lineRule="auto"/>
        <w:ind w:left="284" w:hanging="284"/>
        <w:jc w:val="both"/>
        <w:textAlignment w:val="auto"/>
        <w:rPr>
          <w:b/>
          <w:sz w:val="26"/>
          <w:szCs w:val="26"/>
        </w:rPr>
      </w:pPr>
    </w:p>
    <w:p w14:paraId="7E90FEE8" w14:textId="77777777" w:rsidR="007D785A" w:rsidRDefault="007D785A" w:rsidP="00E95EAA">
      <w:pPr>
        <w:pStyle w:val="Odstavecseseznamem"/>
        <w:tabs>
          <w:tab w:val="left" w:pos="426"/>
        </w:tabs>
        <w:overflowPunct/>
        <w:autoSpaceDE/>
        <w:autoSpaceDN/>
        <w:adjustRightInd/>
        <w:spacing w:after="0" w:line="240" w:lineRule="auto"/>
        <w:ind w:left="284" w:hanging="284"/>
        <w:jc w:val="both"/>
        <w:textAlignment w:val="auto"/>
        <w:rPr>
          <w:b/>
          <w:sz w:val="26"/>
          <w:szCs w:val="26"/>
        </w:rPr>
      </w:pPr>
    </w:p>
    <w:p w14:paraId="1B8FFC66" w14:textId="77777777" w:rsidR="007D785A" w:rsidRDefault="007D785A" w:rsidP="00E95EAA">
      <w:pPr>
        <w:pStyle w:val="Odstavecseseznamem"/>
        <w:tabs>
          <w:tab w:val="left" w:pos="426"/>
        </w:tabs>
        <w:overflowPunct/>
        <w:autoSpaceDE/>
        <w:autoSpaceDN/>
        <w:adjustRightInd/>
        <w:spacing w:after="0" w:line="240" w:lineRule="auto"/>
        <w:ind w:left="284" w:hanging="284"/>
        <w:jc w:val="both"/>
        <w:textAlignment w:val="auto"/>
        <w:rPr>
          <w:b/>
          <w:sz w:val="26"/>
          <w:szCs w:val="26"/>
        </w:rPr>
      </w:pPr>
    </w:p>
    <w:p w14:paraId="7DD2A11A" w14:textId="7E283F3B" w:rsidR="007D785A" w:rsidRDefault="007D785A" w:rsidP="00E95EAA">
      <w:pPr>
        <w:pStyle w:val="Odstavecseseznamem"/>
        <w:tabs>
          <w:tab w:val="left" w:pos="426"/>
        </w:tabs>
        <w:overflowPunct/>
        <w:autoSpaceDE/>
        <w:autoSpaceDN/>
        <w:adjustRightInd/>
        <w:spacing w:after="0" w:line="240" w:lineRule="auto"/>
        <w:ind w:left="284" w:hanging="284"/>
        <w:jc w:val="both"/>
        <w:textAlignment w:val="auto"/>
        <w:rPr>
          <w:b/>
          <w:sz w:val="26"/>
          <w:szCs w:val="26"/>
        </w:rPr>
      </w:pPr>
    </w:p>
    <w:p w14:paraId="147B70AA" w14:textId="4DEF8D44" w:rsidR="007D785A" w:rsidRDefault="007D785A" w:rsidP="00E95EAA">
      <w:pPr>
        <w:pStyle w:val="Odstavecseseznamem"/>
        <w:tabs>
          <w:tab w:val="left" w:pos="426"/>
        </w:tabs>
        <w:overflowPunct/>
        <w:autoSpaceDE/>
        <w:autoSpaceDN/>
        <w:adjustRightInd/>
        <w:spacing w:after="0" w:line="240" w:lineRule="auto"/>
        <w:ind w:left="284" w:hanging="284"/>
        <w:jc w:val="both"/>
        <w:textAlignment w:val="auto"/>
        <w:rPr>
          <w:b/>
          <w:sz w:val="26"/>
          <w:szCs w:val="26"/>
        </w:rPr>
      </w:pPr>
    </w:p>
    <w:p w14:paraId="5E9DD3F1" w14:textId="05484BD6" w:rsidR="007D785A" w:rsidRDefault="007D785A" w:rsidP="00E95EAA">
      <w:pPr>
        <w:pStyle w:val="Odstavecseseznamem"/>
        <w:tabs>
          <w:tab w:val="left" w:pos="426"/>
        </w:tabs>
        <w:overflowPunct/>
        <w:autoSpaceDE/>
        <w:autoSpaceDN/>
        <w:adjustRightInd/>
        <w:spacing w:after="0" w:line="240" w:lineRule="auto"/>
        <w:ind w:left="284" w:hanging="284"/>
        <w:jc w:val="both"/>
        <w:textAlignment w:val="auto"/>
        <w:rPr>
          <w:b/>
          <w:sz w:val="26"/>
          <w:szCs w:val="26"/>
        </w:rPr>
      </w:pPr>
    </w:p>
    <w:p w14:paraId="031118C2" w14:textId="77777777" w:rsidR="00C07DEA" w:rsidRDefault="00C07DEA" w:rsidP="00FA7B72">
      <w:pPr>
        <w:pStyle w:val="Odstavecseseznamem"/>
        <w:tabs>
          <w:tab w:val="left" w:pos="426"/>
        </w:tabs>
        <w:overflowPunct/>
        <w:autoSpaceDE/>
        <w:autoSpaceDN/>
        <w:adjustRightInd/>
        <w:spacing w:after="0" w:line="240" w:lineRule="auto"/>
        <w:ind w:left="284" w:hanging="284"/>
        <w:jc w:val="both"/>
        <w:textAlignment w:val="auto"/>
        <w:rPr>
          <w:rFonts w:ascii="Calibri" w:eastAsia="Calibri" w:hAnsi="Calibri"/>
          <w:b/>
          <w:color w:val="000000"/>
          <w:szCs w:val="22"/>
          <w:u w:val="single"/>
          <w:lang w:eastAsia="en-US"/>
        </w:rPr>
      </w:pPr>
    </w:p>
    <w:p w14:paraId="7DC5428A" w14:textId="552958AC" w:rsidR="00417D4C" w:rsidRPr="00417D4C" w:rsidRDefault="002D2E3F" w:rsidP="00FA7B72">
      <w:pPr>
        <w:pStyle w:val="Odstavecseseznamem"/>
        <w:tabs>
          <w:tab w:val="left" w:pos="426"/>
        </w:tabs>
        <w:overflowPunct/>
        <w:autoSpaceDE/>
        <w:autoSpaceDN/>
        <w:adjustRightInd/>
        <w:spacing w:after="0" w:line="240" w:lineRule="auto"/>
        <w:ind w:left="284" w:hanging="284"/>
        <w:jc w:val="both"/>
        <w:textAlignment w:val="auto"/>
        <w:rPr>
          <w:rFonts w:ascii="Calibri" w:eastAsia="Calibri" w:hAnsi="Calibri"/>
          <w:b/>
          <w:color w:val="000000"/>
          <w:szCs w:val="22"/>
          <w:u w:val="single"/>
          <w:lang w:eastAsia="en-US"/>
        </w:rPr>
      </w:pPr>
      <w:r>
        <w:rPr>
          <w:rFonts w:ascii="Calibri" w:eastAsia="Calibri" w:hAnsi="Calibri"/>
          <w:b/>
          <w:color w:val="000000"/>
          <w:szCs w:val="22"/>
          <w:u w:val="single"/>
          <w:lang w:eastAsia="en-US"/>
        </w:rPr>
        <w:t xml:space="preserve">Grafické vyjádření postupu provedení mechanismu </w:t>
      </w:r>
      <w:r w:rsidR="00777AA3">
        <w:rPr>
          <w:rFonts w:ascii="Calibri" w:eastAsia="Calibri" w:hAnsi="Calibri"/>
          <w:b/>
          <w:color w:val="000000"/>
          <w:szCs w:val="22"/>
          <w:u w:val="single"/>
          <w:lang w:eastAsia="en-US"/>
        </w:rPr>
        <w:t>kontroly přiměřenosti podpory II</w:t>
      </w:r>
      <w:r>
        <w:rPr>
          <w:rFonts w:ascii="Calibri" w:eastAsia="Calibri" w:hAnsi="Calibri"/>
          <w:b/>
          <w:color w:val="000000"/>
          <w:szCs w:val="22"/>
          <w:u w:val="single"/>
          <w:lang w:eastAsia="en-US"/>
        </w:rPr>
        <w:t>:</w:t>
      </w:r>
    </w:p>
    <w:p w14:paraId="139694A2" w14:textId="20D5A00E" w:rsidR="00417D4C" w:rsidRPr="00417D4C" w:rsidRDefault="00FA7B72" w:rsidP="00417D4C">
      <w:pPr>
        <w:overflowPunct/>
        <w:autoSpaceDE/>
        <w:autoSpaceDN/>
        <w:adjustRightInd/>
        <w:spacing w:line="293" w:lineRule="auto"/>
        <w:textAlignment w:val="auto"/>
        <w:rPr>
          <w:rFonts w:ascii="Calibri" w:eastAsia="Calibri" w:hAnsi="Calibri"/>
          <w:color w:val="000000"/>
          <w:szCs w:val="22"/>
          <w:lang w:eastAsia="en-US"/>
        </w:rPr>
      </w:pPr>
      <w:r>
        <w:rPr>
          <w:rFonts w:ascii="Calibri" w:eastAsia="Calibri" w:hAnsi="Calibri"/>
          <w:b/>
          <w:noProof/>
          <w:color w:val="000000"/>
          <w:szCs w:val="22"/>
          <w:u w:val="single"/>
        </w:rPr>
        <mc:AlternateContent>
          <mc:Choice Requires="wpg">
            <w:drawing>
              <wp:anchor distT="0" distB="0" distL="114300" distR="114300" simplePos="0" relativeHeight="251658752" behindDoc="0" locked="0" layoutInCell="1" allowOverlap="1" wp14:anchorId="1414B261" wp14:editId="323F42D9">
                <wp:simplePos x="0" y="0"/>
                <wp:positionH relativeFrom="column">
                  <wp:posOffset>-208595</wp:posOffset>
                </wp:positionH>
                <wp:positionV relativeFrom="paragraph">
                  <wp:posOffset>66990</wp:posOffset>
                </wp:positionV>
                <wp:extent cx="6405510" cy="7956000"/>
                <wp:effectExtent l="0" t="0" r="14605" b="26035"/>
                <wp:wrapNone/>
                <wp:docPr id="20" name="Skupina 20"/>
                <wp:cNvGraphicFramePr/>
                <a:graphic xmlns:a="http://schemas.openxmlformats.org/drawingml/2006/main">
                  <a:graphicData uri="http://schemas.microsoft.com/office/word/2010/wordprocessingGroup">
                    <wpg:wgp>
                      <wpg:cNvGrpSpPr/>
                      <wpg:grpSpPr>
                        <a:xfrm>
                          <a:off x="0" y="0"/>
                          <a:ext cx="6405510" cy="7956000"/>
                          <a:chOff x="-20585" y="0"/>
                          <a:chExt cx="6405510" cy="7569674"/>
                        </a:xfrm>
                      </wpg:grpSpPr>
                      <wps:wsp>
                        <wps:cNvPr id="125" name="Zaoblený obdélník 125"/>
                        <wps:cNvSpPr/>
                        <wps:spPr>
                          <a:xfrm>
                            <a:off x="1123950" y="0"/>
                            <a:ext cx="4039200" cy="518400"/>
                          </a:xfrm>
                          <a:prstGeom prst="roundRect">
                            <a:avLst/>
                          </a:prstGeom>
                          <a:solidFill>
                            <a:schemeClr val="accent3"/>
                          </a:solidFill>
                          <a:ln w="12700" cap="flat" cmpd="sng" algn="ctr">
                            <a:solidFill>
                              <a:srgbClr val="B9E0F7">
                                <a:shade val="50000"/>
                              </a:srgbClr>
                            </a:solidFill>
                            <a:prstDash val="solid"/>
                            <a:miter lim="800000"/>
                          </a:ln>
                          <a:effectLst/>
                        </wps:spPr>
                        <wps:txbx>
                          <w:txbxContent>
                            <w:p w14:paraId="543315FB" w14:textId="77777777" w:rsidR="00034AD2" w:rsidRPr="001929F6" w:rsidRDefault="00034AD2" w:rsidP="00417D4C">
                              <w:pPr>
                                <w:spacing w:after="0" w:line="240" w:lineRule="auto"/>
                                <w:jc w:val="center"/>
                                <w:rPr>
                                  <w:b/>
                                  <w:sz w:val="20"/>
                                </w:rPr>
                              </w:pPr>
                              <w:r w:rsidRPr="001929F6">
                                <w:rPr>
                                  <w:b/>
                                </w:rPr>
                                <w:t xml:space="preserve">Rozdělení kontroly na </w:t>
                              </w:r>
                              <w:r w:rsidRPr="001929F6">
                                <w:rPr>
                                  <w:b/>
                                  <w:sz w:val="20"/>
                                </w:rPr>
                                <w:t>zjednodušenou a podrobnou v případě zdroje OZE s podporou elektřiny z OZE a další podporou (kumulace podpor)</w:t>
                              </w:r>
                            </w:p>
                            <w:p w14:paraId="46DF29DB" w14:textId="77777777" w:rsidR="00034AD2" w:rsidRPr="001929F6" w:rsidRDefault="00034AD2" w:rsidP="00417D4C">
                              <w:pPr>
                                <w:jc w:val="center"/>
                                <w:rPr>
                                  <w:b/>
                                  <w:sz w:val="20"/>
                                </w:rPr>
                              </w:pPr>
                            </w:p>
                            <w:p w14:paraId="7A559112" w14:textId="77777777" w:rsidR="00034AD2" w:rsidRDefault="00034AD2" w:rsidP="00417D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Zaoblený obdélník 128"/>
                        <wps:cNvSpPr/>
                        <wps:spPr>
                          <a:xfrm>
                            <a:off x="2266950" y="790575"/>
                            <a:ext cx="1979930" cy="316230"/>
                          </a:xfrm>
                          <a:prstGeom prst="roundRect">
                            <a:avLst/>
                          </a:prstGeom>
                          <a:gradFill rotWithShape="1">
                            <a:gsLst>
                              <a:gs pos="0">
                                <a:srgbClr val="E31B23">
                                  <a:lumMod val="110000"/>
                                  <a:satMod val="105000"/>
                                  <a:tint val="67000"/>
                                </a:srgbClr>
                              </a:gs>
                              <a:gs pos="50000">
                                <a:srgbClr val="E31B23">
                                  <a:lumMod val="105000"/>
                                  <a:satMod val="103000"/>
                                  <a:tint val="73000"/>
                                </a:srgbClr>
                              </a:gs>
                              <a:gs pos="100000">
                                <a:srgbClr val="E31B23">
                                  <a:lumMod val="105000"/>
                                  <a:satMod val="109000"/>
                                  <a:tint val="81000"/>
                                </a:srgbClr>
                              </a:gs>
                            </a:gsLst>
                            <a:lin ang="5400000" scaled="0"/>
                          </a:gradFill>
                          <a:ln w="6350" cap="flat" cmpd="sng" algn="ctr">
                            <a:solidFill>
                              <a:srgbClr val="E31B23"/>
                            </a:solidFill>
                            <a:prstDash val="solid"/>
                            <a:miter lim="800000"/>
                          </a:ln>
                          <a:effectLst/>
                        </wps:spPr>
                        <wps:txbx>
                          <w:txbxContent>
                            <w:p w14:paraId="2931F40D" w14:textId="77777777" w:rsidR="00034AD2" w:rsidRPr="00933D43" w:rsidRDefault="00034AD2" w:rsidP="00417D4C">
                              <w:pPr>
                                <w:jc w:val="center"/>
                                <w:rPr>
                                  <w:sz w:val="20"/>
                                </w:rPr>
                              </w:pPr>
                              <w:r>
                                <w:rPr>
                                  <w:sz w:val="20"/>
                                </w:rPr>
                                <w:t>Podrobná kontrola</w:t>
                              </w:r>
                              <w:r w:rsidRPr="00933D43">
                                <w:rPr>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Zaoblený obdélník 129"/>
                        <wps:cNvSpPr/>
                        <wps:spPr>
                          <a:xfrm>
                            <a:off x="104775" y="790575"/>
                            <a:ext cx="1979940" cy="316800"/>
                          </a:xfrm>
                          <a:prstGeom prst="roundRect">
                            <a:avLst/>
                          </a:prstGeom>
                          <a:gradFill rotWithShape="1">
                            <a:gsLst>
                              <a:gs pos="0">
                                <a:srgbClr val="E31B23">
                                  <a:lumMod val="110000"/>
                                  <a:satMod val="105000"/>
                                  <a:tint val="67000"/>
                                </a:srgbClr>
                              </a:gs>
                              <a:gs pos="50000">
                                <a:srgbClr val="E31B23">
                                  <a:lumMod val="105000"/>
                                  <a:satMod val="103000"/>
                                  <a:tint val="73000"/>
                                </a:srgbClr>
                              </a:gs>
                              <a:gs pos="100000">
                                <a:srgbClr val="E31B23">
                                  <a:lumMod val="105000"/>
                                  <a:satMod val="109000"/>
                                  <a:tint val="81000"/>
                                </a:srgbClr>
                              </a:gs>
                            </a:gsLst>
                            <a:lin ang="5400000" scaled="0"/>
                          </a:gradFill>
                          <a:ln w="6350" cap="flat" cmpd="sng" algn="ctr">
                            <a:solidFill>
                              <a:srgbClr val="E31B23"/>
                            </a:solidFill>
                            <a:prstDash val="solid"/>
                            <a:miter lim="800000"/>
                          </a:ln>
                          <a:effectLst/>
                        </wps:spPr>
                        <wps:txbx>
                          <w:txbxContent>
                            <w:p w14:paraId="66F6382E" w14:textId="77777777" w:rsidR="00034AD2" w:rsidRPr="00933D43" w:rsidRDefault="00034AD2" w:rsidP="00417D4C">
                              <w:pPr>
                                <w:spacing w:line="240" w:lineRule="auto"/>
                                <w:jc w:val="center"/>
                                <w:rPr>
                                  <w:sz w:val="20"/>
                                </w:rPr>
                              </w:pPr>
                              <w:r>
                                <w:rPr>
                                  <w:sz w:val="20"/>
                                </w:rPr>
                                <w:t>Zjednodušená kontrola</w:t>
                              </w:r>
                              <w:r w:rsidRPr="00933D43">
                                <w:rPr>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Přímá spojnice se šipkou 127"/>
                        <wps:cNvCnPr/>
                        <wps:spPr>
                          <a:xfrm flipH="1">
                            <a:off x="1028700" y="523875"/>
                            <a:ext cx="919480" cy="266400"/>
                          </a:xfrm>
                          <a:prstGeom prst="straightConnector1">
                            <a:avLst/>
                          </a:prstGeom>
                          <a:noFill/>
                          <a:ln w="6350" cap="flat" cmpd="sng" algn="ctr">
                            <a:solidFill>
                              <a:srgbClr val="E31B23"/>
                            </a:solidFill>
                            <a:prstDash val="solid"/>
                            <a:miter lim="800000"/>
                            <a:tailEnd type="triangle"/>
                          </a:ln>
                          <a:effectLst/>
                        </wps:spPr>
                        <wps:bodyPr/>
                      </wps:wsp>
                      <wps:wsp>
                        <wps:cNvPr id="126" name="Přímá spojnice se šipkou 126"/>
                        <wps:cNvCnPr/>
                        <wps:spPr>
                          <a:xfrm>
                            <a:off x="3048000" y="523875"/>
                            <a:ext cx="360450" cy="266400"/>
                          </a:xfrm>
                          <a:prstGeom prst="straightConnector1">
                            <a:avLst/>
                          </a:prstGeom>
                          <a:noFill/>
                          <a:ln w="6350" cap="flat" cmpd="sng" algn="ctr">
                            <a:solidFill>
                              <a:srgbClr val="E31B23"/>
                            </a:solidFill>
                            <a:prstDash val="solid"/>
                            <a:miter lim="800000"/>
                            <a:tailEnd type="triangle"/>
                          </a:ln>
                          <a:effectLst/>
                        </wps:spPr>
                        <wps:bodyPr/>
                      </wps:wsp>
                      <wps:wsp>
                        <wps:cNvPr id="156" name="Zaoblený obdélník 156"/>
                        <wps:cNvSpPr/>
                        <wps:spPr>
                          <a:xfrm>
                            <a:off x="171450" y="1628775"/>
                            <a:ext cx="2059200" cy="503555"/>
                          </a:xfrm>
                          <a:prstGeom prst="roundRect">
                            <a:avLst/>
                          </a:prstGeom>
                          <a:gradFill rotWithShape="1">
                            <a:gsLst>
                              <a:gs pos="0">
                                <a:srgbClr val="13B5EA">
                                  <a:lumMod val="110000"/>
                                  <a:satMod val="105000"/>
                                  <a:tint val="67000"/>
                                </a:srgbClr>
                              </a:gs>
                              <a:gs pos="50000">
                                <a:srgbClr val="13B5EA">
                                  <a:lumMod val="105000"/>
                                  <a:satMod val="103000"/>
                                  <a:tint val="73000"/>
                                </a:srgbClr>
                              </a:gs>
                              <a:gs pos="100000">
                                <a:srgbClr val="13B5EA">
                                  <a:lumMod val="105000"/>
                                  <a:satMod val="109000"/>
                                  <a:tint val="81000"/>
                                </a:srgbClr>
                              </a:gs>
                            </a:gsLst>
                            <a:lin ang="5400000" scaled="0"/>
                          </a:gradFill>
                          <a:ln w="6350" cap="flat" cmpd="sng" algn="ctr">
                            <a:solidFill>
                              <a:srgbClr val="13B5EA"/>
                            </a:solidFill>
                            <a:prstDash val="solid"/>
                            <a:miter lim="800000"/>
                          </a:ln>
                          <a:effectLst/>
                        </wps:spPr>
                        <wps:txbx>
                          <w:txbxContent>
                            <w:p w14:paraId="3DC2D732" w14:textId="77777777" w:rsidR="00034AD2" w:rsidRPr="00933D43" w:rsidRDefault="00034AD2" w:rsidP="002D2E3F">
                              <w:pPr>
                                <w:spacing w:after="0" w:line="240" w:lineRule="auto"/>
                                <w:jc w:val="center"/>
                                <w:rPr>
                                  <w:sz w:val="20"/>
                                </w:rPr>
                              </w:pPr>
                              <w:r>
                                <w:rPr>
                                  <w:sz w:val="20"/>
                                </w:rPr>
                                <w:t xml:space="preserve">Provedení kontroly minimálně u 10 zdrojů OZE z každé skupiny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 name="Přímá spojnice se šipkou 146"/>
                        <wps:cNvCnPr/>
                        <wps:spPr>
                          <a:xfrm flipH="1">
                            <a:off x="1028700" y="1104900"/>
                            <a:ext cx="95485" cy="518575"/>
                          </a:xfrm>
                          <a:prstGeom prst="straightConnector1">
                            <a:avLst/>
                          </a:prstGeom>
                          <a:noFill/>
                          <a:ln w="6350" cap="flat" cmpd="sng" algn="ctr">
                            <a:solidFill>
                              <a:srgbClr val="E31B23"/>
                            </a:solidFill>
                            <a:prstDash val="solid"/>
                            <a:miter lim="800000"/>
                            <a:tailEnd type="triangle"/>
                          </a:ln>
                          <a:effectLst/>
                        </wps:spPr>
                        <wps:bodyPr/>
                      </wps:wsp>
                      <wps:wsp>
                        <wps:cNvPr id="145" name="Zaoblený obdélník 145"/>
                        <wps:cNvSpPr/>
                        <wps:spPr>
                          <a:xfrm>
                            <a:off x="3600450" y="1628775"/>
                            <a:ext cx="2404740" cy="345600"/>
                          </a:xfrm>
                          <a:prstGeom prst="roundRect">
                            <a:avLst/>
                          </a:prstGeom>
                          <a:solidFill>
                            <a:srgbClr val="E31B23"/>
                          </a:solidFill>
                          <a:ln w="12700" cap="flat" cmpd="sng" algn="ctr">
                            <a:solidFill>
                              <a:srgbClr val="E31B23">
                                <a:shade val="50000"/>
                              </a:srgbClr>
                            </a:solidFill>
                            <a:prstDash val="solid"/>
                            <a:miter lim="800000"/>
                          </a:ln>
                          <a:effectLst/>
                        </wps:spPr>
                        <wps:txbx>
                          <w:txbxContent>
                            <w:p w14:paraId="7BD464B8" w14:textId="77777777" w:rsidR="00034AD2" w:rsidRDefault="00034AD2" w:rsidP="00417D4C">
                              <w:pPr>
                                <w:jc w:val="center"/>
                              </w:pPr>
                              <w:r>
                                <w:rPr>
                                  <w:sz w:val="20"/>
                                </w:rPr>
                                <w:t>Dvě varianty postupu na volbě výrobce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 name="Přímá spojnice se šipkou 144"/>
                        <wps:cNvCnPr/>
                        <wps:spPr>
                          <a:xfrm>
                            <a:off x="3305175" y="1114425"/>
                            <a:ext cx="1245305" cy="518345"/>
                          </a:xfrm>
                          <a:prstGeom prst="straightConnector1">
                            <a:avLst/>
                          </a:prstGeom>
                          <a:noFill/>
                          <a:ln w="6350" cap="flat" cmpd="sng" algn="ctr">
                            <a:solidFill>
                              <a:srgbClr val="E31B23"/>
                            </a:solidFill>
                            <a:prstDash val="solid"/>
                            <a:miter lim="800000"/>
                            <a:tailEnd type="triangle"/>
                          </a:ln>
                          <a:effectLst/>
                        </wps:spPr>
                        <wps:bodyPr/>
                      </wps:wsp>
                      <wps:wsp>
                        <wps:cNvPr id="143" name="Zaoblený obdélník 143"/>
                        <wps:cNvSpPr/>
                        <wps:spPr>
                          <a:xfrm>
                            <a:off x="2352675" y="4505325"/>
                            <a:ext cx="1597660" cy="288000"/>
                          </a:xfrm>
                          <a:prstGeom prst="roundRect">
                            <a:avLst/>
                          </a:prstGeom>
                          <a:gradFill rotWithShape="1">
                            <a:gsLst>
                              <a:gs pos="0">
                                <a:srgbClr val="13B5EA">
                                  <a:lumMod val="110000"/>
                                  <a:satMod val="105000"/>
                                  <a:tint val="67000"/>
                                </a:srgbClr>
                              </a:gs>
                              <a:gs pos="50000">
                                <a:srgbClr val="13B5EA">
                                  <a:lumMod val="105000"/>
                                  <a:satMod val="103000"/>
                                  <a:tint val="73000"/>
                                </a:srgbClr>
                              </a:gs>
                              <a:gs pos="100000">
                                <a:srgbClr val="13B5EA">
                                  <a:lumMod val="105000"/>
                                  <a:satMod val="109000"/>
                                  <a:tint val="81000"/>
                                </a:srgbClr>
                              </a:gs>
                            </a:gsLst>
                            <a:lin ang="5400000" scaled="0"/>
                          </a:gradFill>
                          <a:ln w="6350" cap="flat" cmpd="sng" algn="ctr">
                            <a:solidFill>
                              <a:srgbClr val="13B5EA"/>
                            </a:solidFill>
                            <a:prstDash val="solid"/>
                            <a:miter lim="800000"/>
                          </a:ln>
                          <a:effectLst/>
                        </wps:spPr>
                        <wps:txbx>
                          <w:txbxContent>
                            <w:p w14:paraId="29EDA082" w14:textId="77777777" w:rsidR="00034AD2" w:rsidRPr="00933D43" w:rsidRDefault="00034AD2" w:rsidP="002D2E3F">
                              <w:pPr>
                                <w:spacing w:after="0" w:line="240" w:lineRule="auto"/>
                                <w:jc w:val="center"/>
                                <w:rPr>
                                  <w:sz w:val="20"/>
                                </w:rPr>
                              </w:pPr>
                              <w:r>
                                <w:rPr>
                                  <w:sz w:val="20"/>
                                </w:rPr>
                                <w:t>Varianta č.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 name="Přímá spojnice se šipkou 142"/>
                        <wps:cNvCnPr/>
                        <wps:spPr>
                          <a:xfrm flipH="1">
                            <a:off x="3714750" y="1971675"/>
                            <a:ext cx="705765" cy="2534400"/>
                          </a:xfrm>
                          <a:prstGeom prst="straightConnector1">
                            <a:avLst/>
                          </a:prstGeom>
                          <a:noFill/>
                          <a:ln w="6350" cap="flat" cmpd="sng" algn="ctr">
                            <a:solidFill>
                              <a:srgbClr val="E31B23"/>
                            </a:solidFill>
                            <a:prstDash val="solid"/>
                            <a:miter lim="800000"/>
                            <a:tailEnd type="triangle"/>
                          </a:ln>
                          <a:effectLst/>
                        </wps:spPr>
                        <wps:bodyPr/>
                      </wps:wsp>
                      <wps:wsp>
                        <wps:cNvPr id="153" name="Zaoblený obdélník 153"/>
                        <wps:cNvSpPr/>
                        <wps:spPr>
                          <a:xfrm>
                            <a:off x="142875" y="2514600"/>
                            <a:ext cx="1713230" cy="655200"/>
                          </a:xfrm>
                          <a:prstGeom prst="roundRect">
                            <a:avLst/>
                          </a:prstGeom>
                          <a:gradFill rotWithShape="1">
                            <a:gsLst>
                              <a:gs pos="0">
                                <a:srgbClr val="B5121B">
                                  <a:lumMod val="110000"/>
                                  <a:satMod val="105000"/>
                                  <a:tint val="67000"/>
                                </a:srgbClr>
                              </a:gs>
                              <a:gs pos="50000">
                                <a:srgbClr val="B5121B">
                                  <a:lumMod val="105000"/>
                                  <a:satMod val="103000"/>
                                  <a:tint val="73000"/>
                                </a:srgbClr>
                              </a:gs>
                              <a:gs pos="100000">
                                <a:srgbClr val="B5121B">
                                  <a:lumMod val="105000"/>
                                  <a:satMod val="109000"/>
                                  <a:tint val="81000"/>
                                </a:srgbClr>
                              </a:gs>
                            </a:gsLst>
                            <a:lin ang="5400000" scaled="0"/>
                          </a:gradFill>
                          <a:ln w="6350" cap="flat" cmpd="sng" algn="ctr">
                            <a:solidFill>
                              <a:srgbClr val="B5121B"/>
                            </a:solidFill>
                            <a:prstDash val="solid"/>
                            <a:miter lim="800000"/>
                          </a:ln>
                          <a:effectLst/>
                        </wps:spPr>
                        <wps:txbx>
                          <w:txbxContent>
                            <w:p w14:paraId="318E2F2B" w14:textId="77777777" w:rsidR="00034AD2" w:rsidRPr="00933D43" w:rsidRDefault="00034AD2" w:rsidP="00417D4C">
                              <w:pPr>
                                <w:spacing w:after="0" w:line="240" w:lineRule="auto"/>
                                <w:jc w:val="center"/>
                                <w:rPr>
                                  <w:sz w:val="20"/>
                                </w:rPr>
                              </w:pPr>
                              <w:r>
                                <w:rPr>
                                  <w:sz w:val="20"/>
                                </w:rPr>
                                <w:t xml:space="preserve">Pokud jiná podpora než podpora elektřiny z OZE zvyšuje IRR do 0,1 %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 name="Zaoblený obdélník 148"/>
                        <wps:cNvSpPr/>
                        <wps:spPr>
                          <a:xfrm>
                            <a:off x="2009775" y="2505075"/>
                            <a:ext cx="1828800" cy="619200"/>
                          </a:xfrm>
                          <a:prstGeom prst="roundRect">
                            <a:avLst/>
                          </a:prstGeom>
                          <a:gradFill rotWithShape="1">
                            <a:gsLst>
                              <a:gs pos="0">
                                <a:srgbClr val="B5121B">
                                  <a:lumMod val="110000"/>
                                  <a:satMod val="105000"/>
                                  <a:tint val="67000"/>
                                </a:srgbClr>
                              </a:gs>
                              <a:gs pos="50000">
                                <a:srgbClr val="B5121B">
                                  <a:lumMod val="105000"/>
                                  <a:satMod val="103000"/>
                                  <a:tint val="73000"/>
                                </a:srgbClr>
                              </a:gs>
                              <a:gs pos="100000">
                                <a:srgbClr val="B5121B">
                                  <a:lumMod val="105000"/>
                                  <a:satMod val="109000"/>
                                  <a:tint val="81000"/>
                                </a:srgbClr>
                              </a:gs>
                            </a:gsLst>
                            <a:lin ang="5400000" scaled="0"/>
                          </a:gradFill>
                          <a:ln w="6350" cap="flat" cmpd="sng" algn="ctr">
                            <a:solidFill>
                              <a:srgbClr val="B5121B"/>
                            </a:solidFill>
                            <a:prstDash val="solid"/>
                            <a:miter lim="800000"/>
                          </a:ln>
                          <a:effectLst/>
                        </wps:spPr>
                        <wps:txbx>
                          <w:txbxContent>
                            <w:p w14:paraId="22CFC220" w14:textId="77777777" w:rsidR="00034AD2" w:rsidRPr="00933D43" w:rsidRDefault="00034AD2" w:rsidP="00417D4C">
                              <w:pPr>
                                <w:spacing w:after="0" w:line="240" w:lineRule="auto"/>
                                <w:jc w:val="center"/>
                                <w:rPr>
                                  <w:sz w:val="20"/>
                                </w:rPr>
                              </w:pPr>
                              <w:r>
                                <w:rPr>
                                  <w:sz w:val="20"/>
                                </w:rPr>
                                <w:t xml:space="preserve">Pokud jiná podpora než podpora elektřiny z OZE zvyšuje IRR nad 0,1 % </w:t>
                              </w:r>
                            </w:p>
                            <w:p w14:paraId="17570744" w14:textId="77777777" w:rsidR="00034AD2" w:rsidRPr="00933D43" w:rsidRDefault="00034AD2" w:rsidP="00417D4C">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 name="Přímá spojnice se šipkou 155"/>
                        <wps:cNvCnPr/>
                        <wps:spPr>
                          <a:xfrm flipH="1">
                            <a:off x="952500" y="2133600"/>
                            <a:ext cx="45719" cy="381600"/>
                          </a:xfrm>
                          <a:prstGeom prst="straightConnector1">
                            <a:avLst/>
                          </a:prstGeom>
                          <a:noFill/>
                          <a:ln w="6350" cap="flat" cmpd="sng" algn="ctr">
                            <a:solidFill>
                              <a:srgbClr val="E31B23"/>
                            </a:solidFill>
                            <a:prstDash val="solid"/>
                            <a:miter lim="800000"/>
                            <a:tailEnd type="triangle"/>
                          </a:ln>
                          <a:effectLst/>
                        </wps:spPr>
                        <wps:bodyPr/>
                      </wps:wsp>
                      <wps:wsp>
                        <wps:cNvPr id="149" name="Přímá spojnice se šipkou 149"/>
                        <wps:cNvCnPr/>
                        <wps:spPr>
                          <a:xfrm>
                            <a:off x="1476375" y="2133600"/>
                            <a:ext cx="885200" cy="302400"/>
                          </a:xfrm>
                          <a:prstGeom prst="straightConnector1">
                            <a:avLst/>
                          </a:prstGeom>
                          <a:noFill/>
                          <a:ln w="6350" cap="flat" cmpd="sng" algn="ctr">
                            <a:solidFill>
                              <a:srgbClr val="E31B23"/>
                            </a:solidFill>
                            <a:prstDash val="solid"/>
                            <a:miter lim="800000"/>
                            <a:tailEnd type="triangle"/>
                          </a:ln>
                          <a:effectLst/>
                        </wps:spPr>
                        <wps:bodyPr/>
                      </wps:wsp>
                      <wps:wsp>
                        <wps:cNvPr id="154" name="Zaoblený obdélník 154"/>
                        <wps:cNvSpPr/>
                        <wps:spPr>
                          <a:xfrm>
                            <a:off x="-20585" y="3525355"/>
                            <a:ext cx="1958340" cy="957600"/>
                          </a:xfrm>
                          <a:prstGeom prst="roundRect">
                            <a:avLst/>
                          </a:prstGeom>
                          <a:solidFill>
                            <a:srgbClr val="E31B23"/>
                          </a:solidFill>
                          <a:ln w="12700" cap="flat" cmpd="sng" algn="ctr">
                            <a:solidFill>
                              <a:srgbClr val="E31B23">
                                <a:shade val="50000"/>
                              </a:srgbClr>
                            </a:solidFill>
                            <a:prstDash val="solid"/>
                            <a:miter lim="800000"/>
                          </a:ln>
                          <a:effectLst/>
                        </wps:spPr>
                        <wps:txbx>
                          <w:txbxContent>
                            <w:p w14:paraId="370576D4" w14:textId="6571F15A" w:rsidR="00034AD2" w:rsidRPr="00933D43" w:rsidRDefault="00034AD2" w:rsidP="00E35AFD">
                              <w:pPr>
                                <w:spacing w:after="0" w:line="240" w:lineRule="auto"/>
                                <w:jc w:val="center"/>
                                <w:rPr>
                                  <w:sz w:val="20"/>
                                </w:rPr>
                              </w:pPr>
                              <w:r>
                                <w:rPr>
                                  <w:sz w:val="20"/>
                                </w:rPr>
                                <w:t xml:space="preserve">Přechod do kontroly příslušející zdrojům, které čerpají pouze podporu elektřiny z OZE – kontrola reprezentativního vzorku zdrojů OZE </w:t>
                              </w:r>
                            </w:p>
                            <w:p w14:paraId="67AC6BD8" w14:textId="77777777" w:rsidR="00034AD2" w:rsidRPr="00933D43" w:rsidRDefault="00034AD2" w:rsidP="00417D4C">
                              <w:pPr>
                                <w:spacing w:after="0" w:line="240" w:lineRule="auto"/>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 name="Zaoblený obdélník 147"/>
                        <wps:cNvSpPr/>
                        <wps:spPr>
                          <a:xfrm>
                            <a:off x="2085975" y="3552825"/>
                            <a:ext cx="1626870" cy="467995"/>
                          </a:xfrm>
                          <a:prstGeom prst="roundRect">
                            <a:avLst/>
                          </a:prstGeom>
                          <a:solidFill>
                            <a:srgbClr val="E31B23"/>
                          </a:solidFill>
                          <a:ln w="12700" cap="flat" cmpd="sng" algn="ctr">
                            <a:solidFill>
                              <a:srgbClr val="E31B23">
                                <a:shade val="50000"/>
                              </a:srgbClr>
                            </a:solidFill>
                            <a:prstDash val="solid"/>
                            <a:miter lim="800000"/>
                          </a:ln>
                          <a:effectLst/>
                        </wps:spPr>
                        <wps:txbx>
                          <w:txbxContent>
                            <w:p w14:paraId="33FAB8C6" w14:textId="77777777" w:rsidR="00034AD2" w:rsidRPr="00933D43" w:rsidRDefault="00034AD2" w:rsidP="002D2E3F">
                              <w:pPr>
                                <w:spacing w:after="0" w:line="240" w:lineRule="auto"/>
                                <w:jc w:val="center"/>
                                <w:rPr>
                                  <w:sz w:val="20"/>
                                </w:rPr>
                              </w:pPr>
                              <w:r>
                                <w:rPr>
                                  <w:sz w:val="20"/>
                                </w:rPr>
                                <w:t>Postupuje se podle podrobné kontroly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 name="Přímá spojnice se šipkou 152"/>
                        <wps:cNvCnPr/>
                        <wps:spPr>
                          <a:xfrm flipH="1">
                            <a:off x="914400" y="3171825"/>
                            <a:ext cx="69410" cy="324000"/>
                          </a:xfrm>
                          <a:prstGeom prst="straightConnector1">
                            <a:avLst/>
                          </a:prstGeom>
                          <a:noFill/>
                          <a:ln w="6350" cap="flat" cmpd="sng" algn="ctr">
                            <a:solidFill>
                              <a:srgbClr val="E31B23"/>
                            </a:solidFill>
                            <a:prstDash val="solid"/>
                            <a:miter lim="800000"/>
                            <a:tailEnd type="triangle"/>
                          </a:ln>
                          <a:effectLst/>
                        </wps:spPr>
                        <wps:bodyPr/>
                      </wps:wsp>
                      <wps:wsp>
                        <wps:cNvPr id="137" name="Přímá spojnice se šipkou 137"/>
                        <wps:cNvCnPr/>
                        <wps:spPr>
                          <a:xfrm>
                            <a:off x="2886075" y="3124200"/>
                            <a:ext cx="45719" cy="410305"/>
                          </a:xfrm>
                          <a:prstGeom prst="straightConnector1">
                            <a:avLst/>
                          </a:prstGeom>
                          <a:noFill/>
                          <a:ln w="6350" cap="flat" cmpd="sng" algn="ctr">
                            <a:solidFill>
                              <a:srgbClr val="E31B23"/>
                            </a:solidFill>
                            <a:prstDash val="solid"/>
                            <a:miter lim="800000"/>
                            <a:tailEnd type="triangle"/>
                          </a:ln>
                          <a:effectLst/>
                        </wps:spPr>
                        <wps:bodyPr/>
                      </wps:wsp>
                      <wps:wsp>
                        <wps:cNvPr id="140" name="Zaoblený obdélník 140"/>
                        <wps:cNvSpPr/>
                        <wps:spPr>
                          <a:xfrm>
                            <a:off x="4419600" y="3638550"/>
                            <a:ext cx="1633710" cy="287655"/>
                          </a:xfrm>
                          <a:prstGeom prst="roundRect">
                            <a:avLst/>
                          </a:prstGeom>
                          <a:solidFill>
                            <a:srgbClr val="B9E0F7"/>
                          </a:solidFill>
                          <a:ln w="12700" cap="flat" cmpd="sng" algn="ctr">
                            <a:solidFill>
                              <a:srgbClr val="B9E0F7">
                                <a:shade val="50000"/>
                              </a:srgbClr>
                            </a:solidFill>
                            <a:prstDash val="solid"/>
                            <a:miter lim="800000"/>
                          </a:ln>
                          <a:effectLst/>
                        </wps:spPr>
                        <wps:txbx>
                          <w:txbxContent>
                            <w:p w14:paraId="7769CA23" w14:textId="77777777" w:rsidR="00034AD2" w:rsidRPr="00D3208C" w:rsidRDefault="00034AD2" w:rsidP="002D2E3F">
                              <w:pPr>
                                <w:spacing w:after="0" w:line="240" w:lineRule="auto"/>
                                <w:jc w:val="center"/>
                                <w:rPr>
                                  <w:sz w:val="20"/>
                                </w:rPr>
                              </w:pPr>
                              <w:r>
                                <w:rPr>
                                  <w:sz w:val="20"/>
                                </w:rPr>
                                <w:t>Varianta č.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Zaoblený obdélník 134"/>
                        <wps:cNvSpPr/>
                        <wps:spPr>
                          <a:xfrm>
                            <a:off x="4143375" y="4505325"/>
                            <a:ext cx="1965325" cy="1123200"/>
                          </a:xfrm>
                          <a:prstGeom prst="roundRect">
                            <a:avLst/>
                          </a:prstGeom>
                          <a:solidFill>
                            <a:srgbClr val="E31B23">
                              <a:lumMod val="60000"/>
                              <a:lumOff val="40000"/>
                            </a:srgbClr>
                          </a:solidFill>
                          <a:ln w="12700" cap="flat" cmpd="sng" algn="ctr">
                            <a:solidFill>
                              <a:srgbClr val="B9E0F7">
                                <a:shade val="50000"/>
                              </a:srgbClr>
                            </a:solidFill>
                            <a:prstDash val="solid"/>
                            <a:miter lim="800000"/>
                          </a:ln>
                          <a:effectLst/>
                        </wps:spPr>
                        <wps:txbx>
                          <w:txbxContent>
                            <w:p w14:paraId="3A655EA5" w14:textId="77777777" w:rsidR="00034AD2" w:rsidRPr="00D3208C" w:rsidRDefault="00034AD2" w:rsidP="00417D4C">
                              <w:pPr>
                                <w:spacing w:after="0" w:line="240" w:lineRule="auto"/>
                                <w:jc w:val="center"/>
                                <w:rPr>
                                  <w:sz w:val="20"/>
                                </w:rPr>
                              </w:pPr>
                              <w:r>
                                <w:rPr>
                                  <w:sz w:val="20"/>
                                </w:rPr>
                                <w:t xml:space="preserve">Dobrovolné přistoupení výrobce na odečtení jiné provozní podpory anebo investiční podpory (vhodným opatřením k odčerpání) bez provedení podrobné kontroly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Zaoblený obdélník 133"/>
                        <wps:cNvSpPr/>
                        <wps:spPr>
                          <a:xfrm>
                            <a:off x="2352675" y="6257925"/>
                            <a:ext cx="1965325" cy="295200"/>
                          </a:xfrm>
                          <a:prstGeom prst="roundRect">
                            <a:avLst/>
                          </a:prstGeom>
                          <a:solidFill>
                            <a:srgbClr val="B9E0F7"/>
                          </a:solidFill>
                          <a:ln w="12700" cap="flat" cmpd="sng" algn="ctr">
                            <a:solidFill>
                              <a:srgbClr val="B9E0F7">
                                <a:shade val="50000"/>
                              </a:srgbClr>
                            </a:solidFill>
                            <a:prstDash val="solid"/>
                            <a:miter lim="800000"/>
                          </a:ln>
                          <a:effectLst/>
                        </wps:spPr>
                        <wps:txbx>
                          <w:txbxContent>
                            <w:p w14:paraId="2F7DC692" w14:textId="77777777" w:rsidR="00034AD2" w:rsidRPr="00D3208C" w:rsidRDefault="00034AD2" w:rsidP="002D2E3F">
                              <w:pPr>
                                <w:spacing w:after="0" w:line="240" w:lineRule="auto"/>
                                <w:jc w:val="center"/>
                                <w:rPr>
                                  <w:sz w:val="20"/>
                                </w:rPr>
                              </w:pPr>
                              <w:r>
                                <w:rPr>
                                  <w:sz w:val="20"/>
                                </w:rPr>
                                <w:t>U jiné provozní podpory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Zaoblený obdélník 132"/>
                        <wps:cNvSpPr/>
                        <wps:spPr>
                          <a:xfrm>
                            <a:off x="4419600" y="6257925"/>
                            <a:ext cx="1965325" cy="265840"/>
                          </a:xfrm>
                          <a:prstGeom prst="roundRect">
                            <a:avLst/>
                          </a:prstGeom>
                          <a:solidFill>
                            <a:srgbClr val="B9E0F7"/>
                          </a:solidFill>
                          <a:ln w="12700" cap="flat" cmpd="sng" algn="ctr">
                            <a:solidFill>
                              <a:srgbClr val="B9E0F7">
                                <a:shade val="50000"/>
                              </a:srgbClr>
                            </a:solidFill>
                            <a:prstDash val="solid"/>
                            <a:miter lim="800000"/>
                          </a:ln>
                          <a:effectLst/>
                        </wps:spPr>
                        <wps:txbx>
                          <w:txbxContent>
                            <w:p w14:paraId="5AA361BA" w14:textId="77777777" w:rsidR="00034AD2" w:rsidRPr="00D3208C" w:rsidRDefault="00034AD2" w:rsidP="002D2E3F">
                              <w:pPr>
                                <w:spacing w:after="0" w:line="240" w:lineRule="auto"/>
                                <w:jc w:val="center"/>
                                <w:rPr>
                                  <w:sz w:val="20"/>
                                </w:rPr>
                              </w:pPr>
                              <w:r>
                                <w:rPr>
                                  <w:sz w:val="20"/>
                                </w:rPr>
                                <w:t>U investiční podpory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 name="Zaoblený obdélník 130"/>
                        <wps:cNvSpPr/>
                        <wps:spPr>
                          <a:xfrm>
                            <a:off x="4371793" y="6920167"/>
                            <a:ext cx="1965325" cy="649285"/>
                          </a:xfrm>
                          <a:prstGeom prst="roundRect">
                            <a:avLst>
                              <a:gd name="adj" fmla="val 15314"/>
                            </a:avLst>
                          </a:prstGeom>
                          <a:gradFill rotWithShape="1">
                            <a:gsLst>
                              <a:gs pos="0">
                                <a:srgbClr val="B5121B">
                                  <a:lumMod val="110000"/>
                                  <a:satMod val="105000"/>
                                  <a:tint val="67000"/>
                                </a:srgbClr>
                              </a:gs>
                              <a:gs pos="50000">
                                <a:srgbClr val="B5121B">
                                  <a:lumMod val="105000"/>
                                  <a:satMod val="103000"/>
                                  <a:tint val="73000"/>
                                </a:srgbClr>
                              </a:gs>
                              <a:gs pos="100000">
                                <a:srgbClr val="B5121B">
                                  <a:lumMod val="105000"/>
                                  <a:satMod val="109000"/>
                                  <a:tint val="81000"/>
                                </a:srgbClr>
                              </a:gs>
                            </a:gsLst>
                            <a:lin ang="5400000" scaled="0"/>
                          </a:gradFill>
                          <a:ln w="6350" cap="flat" cmpd="sng" algn="ctr">
                            <a:solidFill>
                              <a:srgbClr val="B5121B"/>
                            </a:solidFill>
                            <a:prstDash val="solid"/>
                            <a:miter lim="800000"/>
                          </a:ln>
                          <a:effectLst/>
                        </wps:spPr>
                        <wps:txbx>
                          <w:txbxContent>
                            <w:p w14:paraId="7DA14E0B" w14:textId="0A0DD200" w:rsidR="00034AD2" w:rsidRPr="00785ED0" w:rsidRDefault="00034AD2" w:rsidP="00417D4C">
                              <w:pPr>
                                <w:tabs>
                                  <w:tab w:val="left" w:pos="709"/>
                                </w:tabs>
                                <w:spacing w:after="0" w:line="240" w:lineRule="auto"/>
                                <w:jc w:val="both"/>
                                <w:rPr>
                                  <w:iCs/>
                                  <w:sz w:val="20"/>
                                </w:rPr>
                              </w:pPr>
                              <w:r w:rsidRPr="00785ED0">
                                <w:rPr>
                                  <w:sz w:val="20"/>
                                </w:rPr>
                                <w:t xml:space="preserve">Vrácení </w:t>
                              </w:r>
                              <w:r>
                                <w:rPr>
                                  <w:sz w:val="20"/>
                                </w:rPr>
                                <w:t>podpory může být provedeno například principem tzv. „odečítacího“ vzorečku</w:t>
                              </w:r>
                              <w:r w:rsidRPr="00785ED0">
                                <w:rPr>
                                  <w:sz w:val="20"/>
                                </w:rPr>
                                <w:t>.</w:t>
                              </w:r>
                            </w:p>
                            <w:p w14:paraId="303C03B1" w14:textId="77777777" w:rsidR="00034AD2" w:rsidRPr="00933D43" w:rsidRDefault="00034AD2" w:rsidP="00417D4C">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 name="Zaoblený obdélník 138"/>
                        <wps:cNvSpPr/>
                        <wps:spPr>
                          <a:xfrm>
                            <a:off x="1552575" y="5476875"/>
                            <a:ext cx="2145030" cy="446400"/>
                          </a:xfrm>
                          <a:prstGeom prst="roundRect">
                            <a:avLst/>
                          </a:prstGeom>
                          <a:gradFill rotWithShape="1">
                            <a:gsLst>
                              <a:gs pos="0">
                                <a:srgbClr val="B5121B">
                                  <a:lumMod val="110000"/>
                                  <a:satMod val="105000"/>
                                  <a:tint val="67000"/>
                                </a:srgbClr>
                              </a:gs>
                              <a:gs pos="50000">
                                <a:srgbClr val="B5121B">
                                  <a:lumMod val="105000"/>
                                  <a:satMod val="103000"/>
                                  <a:tint val="73000"/>
                                </a:srgbClr>
                              </a:gs>
                              <a:gs pos="100000">
                                <a:srgbClr val="B5121B">
                                  <a:lumMod val="105000"/>
                                  <a:satMod val="109000"/>
                                  <a:tint val="81000"/>
                                </a:srgbClr>
                              </a:gs>
                            </a:gsLst>
                            <a:lin ang="5400000" scaled="0"/>
                          </a:gradFill>
                          <a:ln w="6350" cap="flat" cmpd="sng" algn="ctr">
                            <a:solidFill>
                              <a:srgbClr val="B5121B"/>
                            </a:solidFill>
                            <a:prstDash val="solid"/>
                            <a:miter lim="800000"/>
                          </a:ln>
                          <a:effectLst/>
                        </wps:spPr>
                        <wps:txbx>
                          <w:txbxContent>
                            <w:p w14:paraId="4ADD7AD6" w14:textId="63BDBDD2" w:rsidR="00034AD2" w:rsidRPr="00E51BE3" w:rsidRDefault="00034AD2" w:rsidP="00417D4C">
                              <w:pPr>
                                <w:spacing w:after="0" w:line="240" w:lineRule="auto"/>
                                <w:jc w:val="center"/>
                                <w:rPr>
                                  <w:sz w:val="20"/>
                                </w:rPr>
                              </w:pPr>
                              <w:r w:rsidRPr="00E51BE3">
                                <w:rPr>
                                  <w:sz w:val="20"/>
                                </w:rPr>
                                <w:t xml:space="preserve">Provedení podrobné </w:t>
                              </w:r>
                              <w:r>
                                <w:rPr>
                                  <w:sz w:val="20"/>
                                </w:rPr>
                                <w:t>kontroly</w:t>
                              </w:r>
                              <w:r w:rsidRPr="00E51BE3">
                                <w:rPr>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 name="Přímá spojnice se šipkou 136"/>
                        <wps:cNvCnPr/>
                        <wps:spPr>
                          <a:xfrm flipH="1">
                            <a:off x="2657475" y="4800600"/>
                            <a:ext cx="388800" cy="676715"/>
                          </a:xfrm>
                          <a:prstGeom prst="straightConnector1">
                            <a:avLst/>
                          </a:prstGeom>
                          <a:noFill/>
                          <a:ln w="6350" cap="flat" cmpd="sng" algn="ctr">
                            <a:solidFill>
                              <a:srgbClr val="E31B23"/>
                            </a:solidFill>
                            <a:prstDash val="solid"/>
                            <a:miter lim="800000"/>
                            <a:tailEnd type="triangle"/>
                          </a:ln>
                          <a:effectLst/>
                        </wps:spPr>
                        <wps:bodyPr/>
                      </wps:wsp>
                      <wps:wsp>
                        <wps:cNvPr id="141" name="Zaoblený obdélník 141"/>
                        <wps:cNvSpPr/>
                        <wps:spPr>
                          <a:xfrm>
                            <a:off x="0" y="6324600"/>
                            <a:ext cx="1864360" cy="806400"/>
                          </a:xfrm>
                          <a:prstGeom prst="roundRect">
                            <a:avLst/>
                          </a:prstGeom>
                          <a:solidFill>
                            <a:srgbClr val="B9E0F7"/>
                          </a:solidFill>
                          <a:ln w="12700" cap="flat" cmpd="sng" algn="ctr">
                            <a:solidFill>
                              <a:srgbClr val="B9E0F7">
                                <a:shade val="50000"/>
                              </a:srgbClr>
                            </a:solidFill>
                            <a:prstDash val="solid"/>
                            <a:miter lim="800000"/>
                          </a:ln>
                          <a:effectLst/>
                        </wps:spPr>
                        <wps:txbx>
                          <w:txbxContent>
                            <w:p w14:paraId="76CBC91B" w14:textId="77777777" w:rsidR="00034AD2" w:rsidRPr="00D3208C" w:rsidRDefault="00034AD2" w:rsidP="00417D4C">
                              <w:pPr>
                                <w:spacing w:after="0" w:line="240" w:lineRule="auto"/>
                                <w:jc w:val="center"/>
                                <w:rPr>
                                  <w:sz w:val="20"/>
                                </w:rPr>
                              </w:pPr>
                              <w:r>
                                <w:rPr>
                                  <w:sz w:val="20"/>
                                </w:rPr>
                                <w:t xml:space="preserve">Při zjištění nepřiměřené podpory bude zavedeno konkrétní opatření k jejímu odčerpání (viz. varianta č. 2)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Přímá spojnice se šipkou 135"/>
                        <wps:cNvCnPr/>
                        <wps:spPr>
                          <a:xfrm flipH="1">
                            <a:off x="1000125" y="5915025"/>
                            <a:ext cx="1084940" cy="403200"/>
                          </a:xfrm>
                          <a:prstGeom prst="straightConnector1">
                            <a:avLst/>
                          </a:prstGeom>
                          <a:noFill/>
                          <a:ln w="6350" cap="flat" cmpd="sng" algn="ctr">
                            <a:solidFill>
                              <a:srgbClr val="E31B23"/>
                            </a:solidFill>
                            <a:prstDash val="solid"/>
                            <a:miter lim="800000"/>
                            <a:tailEnd type="triangle"/>
                          </a:ln>
                          <a:effectLst/>
                        </wps:spPr>
                        <wps:bodyPr/>
                      </wps:wsp>
                      <wps:wsp>
                        <wps:cNvPr id="131" name="Zaoblený obdélník 131"/>
                        <wps:cNvSpPr/>
                        <wps:spPr>
                          <a:xfrm>
                            <a:off x="1948015" y="6919956"/>
                            <a:ext cx="2281555" cy="649718"/>
                          </a:xfrm>
                          <a:prstGeom prst="roundRect">
                            <a:avLst/>
                          </a:prstGeom>
                          <a:gradFill rotWithShape="1">
                            <a:gsLst>
                              <a:gs pos="0">
                                <a:srgbClr val="B5121B">
                                  <a:lumMod val="110000"/>
                                  <a:satMod val="105000"/>
                                  <a:tint val="67000"/>
                                </a:srgbClr>
                              </a:gs>
                              <a:gs pos="50000">
                                <a:srgbClr val="B5121B">
                                  <a:lumMod val="105000"/>
                                  <a:satMod val="103000"/>
                                  <a:tint val="73000"/>
                                </a:srgbClr>
                              </a:gs>
                              <a:gs pos="100000">
                                <a:srgbClr val="B5121B">
                                  <a:lumMod val="105000"/>
                                  <a:satMod val="109000"/>
                                  <a:tint val="81000"/>
                                </a:srgbClr>
                              </a:gs>
                            </a:gsLst>
                            <a:lin ang="5400000" scaled="0"/>
                          </a:gradFill>
                          <a:ln w="6350" cap="flat" cmpd="sng" algn="ctr">
                            <a:solidFill>
                              <a:srgbClr val="B5121B"/>
                            </a:solidFill>
                            <a:prstDash val="solid"/>
                            <a:miter lim="800000"/>
                          </a:ln>
                          <a:effectLst/>
                        </wps:spPr>
                        <wps:txbx>
                          <w:txbxContent>
                            <w:p w14:paraId="3AB074DB" w14:textId="39FDCA5C" w:rsidR="00034AD2" w:rsidRPr="00785ED0" w:rsidRDefault="00034AD2" w:rsidP="00417D4C">
                              <w:pPr>
                                <w:tabs>
                                  <w:tab w:val="left" w:pos="709"/>
                                </w:tabs>
                                <w:spacing w:after="0" w:line="240" w:lineRule="auto"/>
                                <w:jc w:val="both"/>
                                <w:rPr>
                                  <w:iCs/>
                                  <w:sz w:val="20"/>
                                </w:rPr>
                              </w:pPr>
                              <w:r>
                                <w:rPr>
                                  <w:sz w:val="20"/>
                                </w:rPr>
                                <w:t>Vrácení podpory může být provedeno například analogií s principem tzv. „solárního“ odvodu.</w:t>
                              </w:r>
                            </w:p>
                            <w:p w14:paraId="1E7FBEC4" w14:textId="77777777" w:rsidR="00034AD2" w:rsidRPr="00785ED0" w:rsidRDefault="00034AD2" w:rsidP="00417D4C">
                              <w:pPr>
                                <w:spacing w:after="0" w:line="240" w:lineRule="auto"/>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 name="Přímá spojnice se šipkou 139"/>
                        <wps:cNvCnPr/>
                        <wps:spPr>
                          <a:xfrm>
                            <a:off x="4600575" y="1971675"/>
                            <a:ext cx="964800" cy="1663200"/>
                          </a:xfrm>
                          <a:prstGeom prst="straightConnector1">
                            <a:avLst/>
                          </a:prstGeom>
                          <a:noFill/>
                          <a:ln w="6350" cap="flat" cmpd="sng" algn="ctr">
                            <a:solidFill>
                              <a:srgbClr val="E31B23"/>
                            </a:solidFill>
                            <a:prstDash val="solid"/>
                            <a:miter lim="800000"/>
                            <a:tailEnd type="triangle"/>
                          </a:ln>
                          <a:effectLst/>
                        </wps:spPr>
                        <wps:bodyPr/>
                      </wps:wsp>
                      <wps:wsp>
                        <wps:cNvPr id="76" name="Přímá spojnice se šipkou 76"/>
                        <wps:cNvCnPr/>
                        <wps:spPr>
                          <a:xfrm>
                            <a:off x="5114925" y="3933825"/>
                            <a:ext cx="49955" cy="569145"/>
                          </a:xfrm>
                          <a:prstGeom prst="straightConnector1">
                            <a:avLst/>
                          </a:prstGeom>
                          <a:noFill/>
                          <a:ln w="6350" cap="flat" cmpd="sng" algn="ctr">
                            <a:solidFill>
                              <a:srgbClr val="E31B23"/>
                            </a:solidFill>
                            <a:prstDash val="solid"/>
                            <a:miter lim="800000"/>
                            <a:tailEnd type="triangle"/>
                          </a:ln>
                          <a:effectLst/>
                        </wps:spPr>
                        <wps:bodyPr/>
                      </wps:wsp>
                      <wps:wsp>
                        <wps:cNvPr id="77" name="Přímá spojnice se šipkou 77"/>
                        <wps:cNvCnPr/>
                        <wps:spPr>
                          <a:xfrm flipH="1">
                            <a:off x="3438525" y="5629275"/>
                            <a:ext cx="1101740" cy="626400"/>
                          </a:xfrm>
                          <a:prstGeom prst="straightConnector1">
                            <a:avLst/>
                          </a:prstGeom>
                          <a:noFill/>
                          <a:ln w="6350" cap="flat" cmpd="sng" algn="ctr">
                            <a:solidFill>
                              <a:srgbClr val="E31B23"/>
                            </a:solidFill>
                            <a:prstDash val="solid"/>
                            <a:miter lim="800000"/>
                            <a:tailEnd type="triangle"/>
                          </a:ln>
                          <a:effectLst/>
                        </wps:spPr>
                        <wps:bodyPr/>
                      </wps:wsp>
                      <wps:wsp>
                        <wps:cNvPr id="78" name="Přímá spojnice se šipkou 78"/>
                        <wps:cNvCnPr/>
                        <wps:spPr>
                          <a:xfrm>
                            <a:off x="5133975" y="5629275"/>
                            <a:ext cx="251990" cy="626400"/>
                          </a:xfrm>
                          <a:prstGeom prst="straightConnector1">
                            <a:avLst/>
                          </a:prstGeom>
                          <a:noFill/>
                          <a:ln w="6350" cap="flat" cmpd="sng" algn="ctr">
                            <a:solidFill>
                              <a:srgbClr val="E31B23"/>
                            </a:solidFill>
                            <a:prstDash val="solid"/>
                            <a:miter lim="800000"/>
                            <a:tailEnd type="triangle"/>
                          </a:ln>
                          <a:effectLst/>
                        </wps:spPr>
                        <wps:bodyPr/>
                      </wps:wsp>
                      <wps:wsp>
                        <wps:cNvPr id="79" name="Přímá spojnice se šipkou 79"/>
                        <wps:cNvCnPr>
                          <a:endCxn id="131" idx="0"/>
                        </wps:cNvCnPr>
                        <wps:spPr>
                          <a:xfrm flipH="1">
                            <a:off x="3088746" y="6552621"/>
                            <a:ext cx="343636" cy="367335"/>
                          </a:xfrm>
                          <a:prstGeom prst="straightConnector1">
                            <a:avLst/>
                          </a:prstGeom>
                          <a:noFill/>
                          <a:ln w="6350" cap="flat" cmpd="sng" algn="ctr">
                            <a:solidFill>
                              <a:srgbClr val="E31B23"/>
                            </a:solidFill>
                            <a:prstDash val="solid"/>
                            <a:miter lim="800000"/>
                            <a:tailEnd type="triangle"/>
                          </a:ln>
                          <a:effectLst/>
                        </wps:spPr>
                        <wps:bodyPr/>
                      </wps:wsp>
                      <wps:wsp>
                        <wps:cNvPr id="80" name="Přímá spojnice se šipkou 80"/>
                        <wps:cNvCnPr>
                          <a:endCxn id="130" idx="0"/>
                        </wps:cNvCnPr>
                        <wps:spPr>
                          <a:xfrm>
                            <a:off x="5333556" y="6524241"/>
                            <a:ext cx="20859" cy="395926"/>
                          </a:xfrm>
                          <a:prstGeom prst="straightConnector1">
                            <a:avLst/>
                          </a:prstGeom>
                          <a:noFill/>
                          <a:ln w="6350" cap="flat" cmpd="sng" algn="ctr">
                            <a:solidFill>
                              <a:srgbClr val="E31B23"/>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id="Skupina 20" o:spid="_x0000_s1075" style="position:absolute;margin-left:-16.4pt;margin-top:5.25pt;width:504.35pt;height:626.45pt;z-index:251658752;mso-width-relative:margin;mso-height-relative:margin" coordorigin="-205" coordsize="64055,75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OytwQsAAEZ5AAAOAAAAZHJzL2Uyb0RvYy54bWzsXcty28gV3acq/4Difiw0Gk+V5Slbtiep&#10;8sy44km5KjsIBEmMQQABIEvOn2Q5yyzmE7JyzX/l3O7GgxJIgHqb6Y1EEg2gcfve0+c+uvH8+8t1&#10;anyOyyrJs5MZe2bOjDiL8nmSLU9mf//l7Xf+zKjqMJuHaZ7FJ7MvcTX7/sWf//T8ojiOrXyVp/O4&#10;NHCRrDq+KE5mq7oujo+OqmgVr8PqWV7EGQ4u8nId1vhaLo/mZXiBq6/TI8s03aOLvJwXZR7FVYVf&#10;X8uDsxfi+otFHNU/LxZVXBvpyQx9q8XfUvw9o79HL56Hx8syLFZJpLoR3qAX6zDJcNP2Uq/DOjTO&#10;y+TapdZJVOZVvqifRfn6KF8skigWz4CnYeaVp/mhzM8L8SzL44tl0YoJor0ipxtfNvrp8/vSSOYn&#10;MwviycI1xujDp/MiyUIDv0A8F8XyGK1+KIsPxftS/bCU3+iJLxflmv7jWYxLIdgvrWDjy9qI8KNr&#10;m47DcIMIx7zAcU1TiT5aYXzovO8s0/GdmdGdHK3eDJ7uuIHr2dS1o+buR9TJtk8XBXSp6sRV3U5c&#10;H1ZhEYtRqEgQSlzMQmelvP4R5mdpnH39r5Gfzb/+J82+/v7JoONCWOKkVnTVcQUpDsiNMYsHDkTU&#10;CaCRnm3yALoupecw35bCa58+PC7Kqv4hztcGfTiZQW2y+d+g+0Ilw8/vqlpKq2lH96/yNJm/TdJU&#10;fCF7i0/T0vgcwlLCKIqzmisZb7RMM+MChm55okMhTHaRhjX6ti6gRFW2nBlhugQWRHUpbr9xdlUu&#10;z9q7vAremG892WgVzmN5bwe6IZQDz6eai5HeuA49yOuwWslTxCHqbHi8TmrgSZqsT2Y+Xai5UprR&#10;0VggghIHqYkcDPpUX55dSjtox+0sn3/BaJe5RI2qiN4muO+7sKrfhyVgAkMC6Kt/xp9FmkMsufo0&#10;M1Z5+a+h36k91BFHZ8YFYAci++d5WMYzI/1rBkUNmG3jsrX4YjseWWXZP3LWP5Kdr09zjBcDyBaR&#10;+Ejt67T5uCjz9Ucg5Eu6Kw6FWYR7y8FRX05rCYfA2Ch++VI0AzYVYf0u+1BEdHESHUn8l8uPYVko&#10;Jauhnj/ljXGEx1fUTLalM7P85XmdLxKhgyRqKVcMqjJUwpgHsVjMRTst1t/LYi3LdRuL9QLT8YTi&#10;QMkUarHACwIOoRPoceZa+NwHrZuZLeYqYbWklh+TeiUGoBmkZQXdJpkvK6PIoU6mtK6+1b3h7JXF&#10;xe/p+frHfC5tiLHGWmB2Yd39bpJBSuOqk6yWrV2Yf/M0fSNdVv27S1OmXzbsflsPenfa7AEf6IHX&#10;/HgFJjZ7IB5qDyFs7UIw0AWfrq6G9KoQ0Kt2MNIkg61h0naA3HSKUUVhGgMum7ObQSVRSYB1Oc0F&#10;0a3wVclZ6pzAyAbu7xM+3caINHweGHwGI/AZNCMPljSB8Ji2B8gkvrMVPWkqVOiJ2VyZWkM4GzKz&#10;D+lpDE2j53bo6mYPjZ6DFPg+0dNrbEij54Ghp9eg5/s//v319/XX30DZ818z+P9GFRt//JYUn/Jz&#10;uI2tBgBFTzPlcTeeinR4jUWaFH9pSJ9yvJlp+cIpA6A6Fvev0tGABbav8BTMddSJrOoyTJar+jTP&#10;MriSeSn9gCs0n7xOYi1ZTtxCuGBPj8CEx3WYpG+yuVF/KRDgqMsEfCyN1YQy6htKWyQe9dAeiztR&#10;aVrStV1paJSUqnATmkA8dIuqcNe0Bf3Eca0q34aqOK2qDIejcBwKTPo7jZ15TKgANACeq09MTRh3&#10;49wiWteLSZnccUSDW8akbk3PGH/lvHn5mM7tth5s9SwbPxYg1brXt3Nu9+7Ct+jcqockUL4Sy7xP&#10;etZGiDQ9Oyx6ZrfwuZueoV0HozelZ4i12bC5TUQNHJvyH+TuIsavoonb8VTTM5FHoQnt0eiZPZIC&#10;wvFOWcYjIqBdkndtnXRtxEzamIhNaTS6wXYluUEiaCBUPICxd5gF6kWDqyeUBWqDWRrpDwzp7Wk+&#10;lS1SzIowb0H6vk/FTYepeCZjyOLJ/G8vHWTZDtq0CM8lOmw3Xo3wTwDheaMsw16VLQKEk70qizuW&#10;q5QE7pXDrymJE3iu20RpfOGl3x7htVsls5barRqtyXgUt0omxjsqp0suDqXkwrYa/Bxxq6weU94y&#10;2Q5GvTniVJ4qm0LBBSN0BWB2066HwgxXzbqWw1FdM8KZ9bT7+NOuMzLt4jgGefK0y2xEMKEDFM52&#10;mK3cpk5HmMc4VecI59t1HCq2ewKz7iuHWezVYwYzt/XgAYOZe3fhWwxmqoeUOvdQlTqcNUakXdwD&#10;c3FHCh3tNow9KRcEOAyaUh0LXot5dY5lvkWuisJPJhJDGj9Rl7s3eN19MmjvLmj8JPY4oVCct5xV&#10;4+dh4Sdy2apQfLfXInPeu0OEg15L4ABHZf2FxTjF/TedFhT+M1RbitJHn42G+bXL8vgui91Wx+7W&#10;GbTrXJctnm4vrAzv1uWN7zKkKr4v3BWpK6al3dtvoKzLaVMQw1FlHO90ZDxv2Fs6h/iyg1qcTTRh&#10;gePzJm0YIBxyJ+7thpsytL5jwJs5+LQhbwMTmhMcFiew2/rdYZvF8X1s1jJ9pHpkTAoGa/nXMkGu&#10;5aKeV5IA28VSsrsosNNGO7Dik7dwq432sIzWmZh+QLvOeLeQsmEiT8t1JZHniCJfs2I3sJmyYU7c&#10;bCSurIn84xN53gL9biKPdqM60yPyiJC5FDijJARnlq1yDF0SoufzQWeoUkQSqC3L3bSqPL6qEKfe&#10;taAcxzsVGefxts0C4uZCRVzuO8hr4vxORZjLke9UeIKUFlJVu5XklvV/aoMGqYcb1OEOifzT3AWC&#10;C8nqkoTD2wUCbG+n0XZscFJyxGY2jFLi+nBJV+CKOi8RoaFdXu4mu7xhjkPuNwFHf4MHIIukH+Jn&#10;2nVHbPVCpKRhJf1NDDauf/jm3pb1axfgsFwARGR2m3sbsZlk7v0KTtdyvOCa3943dwuB/ta6thA5&#10;PUffdKemjoFroz0wo2399uFgW5d6nWS0fWI9wWhdB1usaWJ9P9ur8bb2RBvtgRntiDfcVXlPM1q4&#10;ul6A2RsBExclRSjtveIN92da1w4sLJ/cGTIZmGmJJC/niiCE819nxmKdYmc/UGODOZw120yKXS/E&#10;Srtm1yFx5m33YttWnPNwe7Ft64Gu8BT+k9js8i72YlNyHgil3ONydd7WGmisPTCsHanw7GbZSVjL&#10;kIGkFeeEtQ4qTq5tHmTRbiBNhbxtj+8eNIC1Uvc1fjZRmLva7mNvCNcVnhMrPLv4vcbPA8PPidt9&#10;8DYuCBzdJzFsuY6HhWkCUWmzLVVz1eVyuN8rmfdcj42QV53vewL5PuyzvTPf166omTTrykyfi8KA&#10;a9rBfNdGWbCs/vHNO5pvN2L6GzmD/+NMn90Omgb5AwN5wK8015FKjjbXuyfIk5su3gNBtDlgjnkt&#10;GWD6dkBVAlTJj9c4jCYDNMo/PspjXeROlO/WTU5CebHtKmZ3GcdiqOMUnKJjApblw/9CA1ISxLFQ&#10;RrZ3HEv7VtinEg6q9q1u8h4Wuc78YWNT2BkCN9QFNgdYYDNxJVQXndw+7VIQVm1aTCS5iVEN7vQR&#10;uORoSRhlLmj1WOZdT7aPPtl60/xwNFNgMUlVHOy/RoUZopAy4PxaWbaNWVhNuHibGGKbuydcrSiP&#10;ryjTqrK9CUXZg4X83Ea9rVIZx7UCC7EbqFzH0rBnK2v33sTaHL3Q8ukvtPTaLMlOBxDN9kMXzpul&#10;W4OqYjlg+Woi0pryTWyf703jLGi2qSkCIbL56WUm3h3IyHdM5uI1mGgoXhehZizJdeXqsx1v8eCm&#10;73u0GTX5gsjKuZYIT3U4BKByEZWW671dj8tCdb2LKL04TYzG9p07ZHyvGRe8IVSOyb2/KpTeujIh&#10;DoVmI8qF60xVrh5xdjiUhF4PIVQKK49kxLNTKbEWVWlUgNc6CLKlNepmGiVeRYuX9YpiIWy8Si8W&#10;prcB978LZOhef/zifwAAAP//AwBQSwMEFAAGAAgAAAAhAOBhoEbiAAAACwEAAA8AAABkcnMvZG93&#10;bnJldi54bWxMj81OwzAQhO9IvIO1SNxa54eUNsSpqgo4VUi0SKi3bbJNosZ2FLtJ+vYsJzjOzmjm&#10;22w96VYM1LvGGgXhPABBprBlYyoFX4e32RKE82hKbK0hBTdysM7v7zJMSzuaTxr2vhJcYlyKCmrv&#10;u1RKV9Sk0c1tR4a9s+01epZ9JcseRy7XrYyCYCE1NoYXauxoW1Nx2V+1gvcRx00cvg67y3l7Ox6S&#10;j+9dSEo9PkybFxCeJv8Xhl98RoecmU72akonWgWzOGJ0z0aQgODA6jlZgTjxIVrETyDzTP7/If8B&#10;AAD//wMAUEsBAi0AFAAGAAgAAAAhALaDOJL+AAAA4QEAABMAAAAAAAAAAAAAAAAAAAAAAFtDb250&#10;ZW50X1R5cGVzXS54bWxQSwECLQAUAAYACAAAACEAOP0h/9YAAACUAQAACwAAAAAAAAAAAAAAAAAv&#10;AQAAX3JlbHMvLnJlbHNQSwECLQAUAAYACAAAACEAHmzsrcELAABGeQAADgAAAAAAAAAAAAAAAAAu&#10;AgAAZHJzL2Uyb0RvYy54bWxQSwECLQAUAAYACAAAACEA4GGgRuIAAAALAQAADwAAAAAAAAAAAAAA&#10;AAAbDgAAZHJzL2Rvd25yZXYueG1sUEsFBgAAAAAEAAQA8wAAACoPAAAAAA==&#10;">
                <v:roundrect id="Zaoblený obdélník 125" o:spid="_x0000_s1076" style="position:absolute;left:11239;width:40392;height:518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u4h8QA&#10;AADcAAAADwAAAGRycy9kb3ducmV2LnhtbERPS2vCQBC+C/0PyxR6MxsTlJK6ipQWWrAHYy69Ddkx&#10;Cc3OhuzmUX99tyB4m4/vOdv9bFoxUu8aywpWUQyCuLS64UpBcX5fPoNwHllja5kU/JKD/e5hscVM&#10;24lPNOa+EiGEXYYKau+7TEpX1mTQRbYjDtzF9gZ9gH0ldY9TCDetTOJ4Iw02HBpq7Oi1pvInH4yC&#10;77fPfDjO41War+FatF1aXtJUqafH+fACwtPs7+Kb+0OH+cka/p8JF8jd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7uIfEAAAA3AAAAA8AAAAAAAAAAAAAAAAAmAIAAGRycy9k&#10;b3ducmV2LnhtbFBLBQYAAAAABAAEAPUAAACJAwAAAAA=&#10;" fillcolor="#9bbb59 [3206]" strokecolor="#87a4b6" strokeweight="1pt">
                  <v:stroke joinstyle="miter"/>
                  <v:textbox>
                    <w:txbxContent>
                      <w:p w14:paraId="543315FB" w14:textId="77777777" w:rsidR="00034AD2" w:rsidRPr="001929F6" w:rsidRDefault="00034AD2" w:rsidP="00417D4C">
                        <w:pPr>
                          <w:spacing w:after="0" w:line="240" w:lineRule="auto"/>
                          <w:jc w:val="center"/>
                          <w:rPr>
                            <w:b/>
                            <w:sz w:val="20"/>
                          </w:rPr>
                        </w:pPr>
                        <w:r w:rsidRPr="001929F6">
                          <w:rPr>
                            <w:b/>
                          </w:rPr>
                          <w:t xml:space="preserve">Rozdělení kontroly na </w:t>
                        </w:r>
                        <w:r w:rsidRPr="001929F6">
                          <w:rPr>
                            <w:b/>
                            <w:sz w:val="20"/>
                          </w:rPr>
                          <w:t>zjednodušenou a podrobnou v případě zdroje OZE s podporou elektřiny z OZE a další podporou (kumulace podpor)</w:t>
                        </w:r>
                      </w:p>
                      <w:p w14:paraId="46DF29DB" w14:textId="77777777" w:rsidR="00034AD2" w:rsidRPr="001929F6" w:rsidRDefault="00034AD2" w:rsidP="00417D4C">
                        <w:pPr>
                          <w:jc w:val="center"/>
                          <w:rPr>
                            <w:b/>
                            <w:sz w:val="20"/>
                          </w:rPr>
                        </w:pPr>
                      </w:p>
                      <w:p w14:paraId="7A559112" w14:textId="77777777" w:rsidR="00034AD2" w:rsidRDefault="00034AD2" w:rsidP="00417D4C">
                        <w:pPr>
                          <w:jc w:val="center"/>
                        </w:pPr>
                      </w:p>
                    </w:txbxContent>
                  </v:textbox>
                </v:roundrect>
                <v:roundrect id="Zaoblený obdélník 128" o:spid="_x0000_s1077" style="position:absolute;left:22669;top:7905;width:19799;height:316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8W+cYA&#10;AADcAAAADwAAAGRycy9kb3ducmV2LnhtbESPQWvCQBCF7wX/wzKCF9GNIq2krqKCoO2laqE9Dtkx&#10;CWZnQ3ZN0n/fORR6m+G9ee+b1aZ3lWqpCaVnA7NpAoo487bk3MDn9TBZggoR2WLlmQz8UIDNevC0&#10;wtT6js/UXmKuJIRDigaKGOtU65AV5DBMfU0s2s03DqOsTa5tg52Eu0rPk+RZOyxZGgqsaV9Qdr88&#10;nIG2PL3r0+L8vejc1/LjbTfej18exoyG/fYVVKQ+/pv/ro9W8OdCK8/IBHr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c8W+cYAAADcAAAADwAAAAAAAAAAAAAAAACYAgAAZHJz&#10;L2Rvd25yZXYueG1sUEsFBgAAAAAEAAQA9QAAAIsDAAAAAA==&#10;" fillcolor="#f29fa0" strokecolor="#e31b23" strokeweight=".5pt">
                  <v:fill color2="#f17c7d" rotate="t" colors="0 #f29fa0;.5 #ef9192;1 #f17c7d" focus="100%" type="gradient">
                    <o:fill v:ext="view" type="gradientUnscaled"/>
                  </v:fill>
                  <v:stroke joinstyle="miter"/>
                  <v:textbox>
                    <w:txbxContent>
                      <w:p w14:paraId="2931F40D" w14:textId="77777777" w:rsidR="00034AD2" w:rsidRPr="00933D43" w:rsidRDefault="00034AD2" w:rsidP="00417D4C">
                        <w:pPr>
                          <w:jc w:val="center"/>
                          <w:rPr>
                            <w:sz w:val="20"/>
                          </w:rPr>
                        </w:pPr>
                        <w:r>
                          <w:rPr>
                            <w:sz w:val="20"/>
                          </w:rPr>
                          <w:t>Podrobná kontrola</w:t>
                        </w:r>
                        <w:r w:rsidRPr="00933D43">
                          <w:rPr>
                            <w:sz w:val="20"/>
                          </w:rPr>
                          <w:t xml:space="preserve"> </w:t>
                        </w:r>
                      </w:p>
                    </w:txbxContent>
                  </v:textbox>
                </v:roundrect>
                <v:roundrect id="Zaoblený obdélník 129" o:spid="_x0000_s1078" style="position:absolute;left:1047;top:7905;width:19800;height:316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zYsQA&#10;AADcAAAADwAAAGRycy9kb3ducmV2LnhtbERPS2vCQBC+F/wPyxR6Ed1UxEfqKq0g+Lj4AnscstMk&#10;mJ0N2TWJ/94VhN7m43vObNGaQtRUudyygs9+BII4sTrnVMH5tOpNQDiPrLGwTAru5GAx77zNMNa2&#10;4QPVR5+KEMIuRgWZ92UspUsyMuj6tiQO3J+tDPoAq1TqCpsQbgo5iKKRNJhzaMiwpGVGyfV4Mwrq&#10;fLOTm+Hhd9iYy2S//ekuu+ObUh/v7fcXCE+t/xe/3Gsd5g+m8HwmXC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Ds2LEAAAA3AAAAA8AAAAAAAAAAAAAAAAAmAIAAGRycy9k&#10;b3ducmV2LnhtbFBLBQYAAAAABAAEAPUAAACJAwAAAAA=&#10;" fillcolor="#f29fa0" strokecolor="#e31b23" strokeweight=".5pt">
                  <v:fill color2="#f17c7d" rotate="t" colors="0 #f29fa0;.5 #ef9192;1 #f17c7d" focus="100%" type="gradient">
                    <o:fill v:ext="view" type="gradientUnscaled"/>
                  </v:fill>
                  <v:stroke joinstyle="miter"/>
                  <v:textbox>
                    <w:txbxContent>
                      <w:p w14:paraId="66F6382E" w14:textId="77777777" w:rsidR="00034AD2" w:rsidRPr="00933D43" w:rsidRDefault="00034AD2" w:rsidP="00417D4C">
                        <w:pPr>
                          <w:spacing w:line="240" w:lineRule="auto"/>
                          <w:jc w:val="center"/>
                          <w:rPr>
                            <w:sz w:val="20"/>
                          </w:rPr>
                        </w:pPr>
                        <w:r>
                          <w:rPr>
                            <w:sz w:val="20"/>
                          </w:rPr>
                          <w:t>Zjednodušená kontrola</w:t>
                        </w:r>
                        <w:r w:rsidRPr="00933D43">
                          <w:rPr>
                            <w:sz w:val="20"/>
                          </w:rPr>
                          <w:t xml:space="preserve"> </w:t>
                        </w:r>
                      </w:p>
                    </w:txbxContent>
                  </v:textbox>
                </v:roundrect>
                <v:shape id="Přímá spojnice se šipkou 127" o:spid="_x0000_s1079" type="#_x0000_t32" style="position:absolute;left:10287;top:5238;width:9194;height:266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ZUbb0AAADcAAAADwAAAGRycy9kb3ducmV2LnhtbERPSwrCMBDdC94hjOBOUwU/VKOIIoi4&#10;8XOAoRnb0mZSmtTW2xtBcDeP9531tjOleFHtcssKJuMIBHFidc6pgsf9OFqCcB5ZY2mZFLzJwXbT&#10;760x1rblK71uPhUhhF2MCjLvq1hKl2Rk0I1tRRy4p60N+gDrVOoa2xBuSjmNork0mHNoyLCifUZJ&#10;cWuMgsO+uTbo3/PzrEiLqqPL5NAmSg0H3W4FwlPn/+Kf+6TD/OkCvs+EC+Tm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FGVG29AAAA3AAAAA8AAAAAAAAAAAAAAAAAoQIA&#10;AGRycy9kb3ducmV2LnhtbFBLBQYAAAAABAAEAPkAAACLAwAAAAA=&#10;" strokecolor="#e31b23" strokeweight=".5pt">
                  <v:stroke endarrow="block" joinstyle="miter"/>
                </v:shape>
                <v:shape id="Přímá spojnice se šipkou 126" o:spid="_x0000_s1080" type="#_x0000_t32" style="position:absolute;left:30480;top:5238;width:3604;height:26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n4YcQAAADcAAAADwAAAGRycy9kb3ducmV2LnhtbERPTWvCQBC9F/oflil4qxs9BImuUsQW&#10;D4poiu1xzI7Z0OxsyK4x+uvdQqG3ebzPmS16W4uOWl85VjAaJiCIC6crLhV85u+vExA+IGusHZOC&#10;G3lYzJ+fZphpd+U9dYdQihjCPkMFJoQmk9IXhiz6oWuII3d2rcUQYVtK3eI1httajpMklRYrjg0G&#10;G1oaKn4OF6vAfux32/vxlC/v+Zfh71XabTapUoOX/m0KIlAf/sV/7rWO88cp/D4TL5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qfhhxAAAANwAAAAPAAAAAAAAAAAA&#10;AAAAAKECAABkcnMvZG93bnJldi54bWxQSwUGAAAAAAQABAD5AAAAkgMAAAAA&#10;" strokecolor="#e31b23" strokeweight=".5pt">
                  <v:stroke endarrow="block" joinstyle="miter"/>
                </v:shape>
                <v:roundrect id="Zaoblený obdélník 156" o:spid="_x0000_s1081" style="position:absolute;left:1714;top:16287;width:20592;height:503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32CMMA&#10;AADcAAAADwAAAGRycy9kb3ducmV2LnhtbERPS2vCQBC+F/wPywi9FLOxpUGiq4hB7KGXqpfcxuyY&#10;BLOzIbt59N93C4Xe5uN7zmY3mUYM1LnasoJlFIMgLqyuuVRwvRwXKxDOI2tsLJOCb3Kw286eNphq&#10;O/IXDWdfihDCLkUFlfdtKqUrKjLoItsSB+5uO4M+wK6UusMxhJtGvsZxIg3WHBoqbOlQUfE490bB&#10;CfGQU//yOGX7t94OOv+8ZblSz/NpvwbhafL/4j/3hw7z3xP4fSZc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32CMMAAADcAAAADwAAAAAAAAAAAAAAAACYAgAAZHJzL2Rv&#10;d25yZXYueG1sUEsFBgAAAAAEAAQA9QAAAIgDAAAAAA==&#10;" fillcolor="#9ed7f7" strokecolor="#13b5ea" strokeweight=".5pt">
                  <v:fill color2="#7acdf8" rotate="t" colors="0 #9ed7f7;.5 #90d0f4;1 #7acdf8" focus="100%" type="gradient">
                    <o:fill v:ext="view" type="gradientUnscaled"/>
                  </v:fill>
                  <v:stroke joinstyle="miter"/>
                  <v:textbox>
                    <w:txbxContent>
                      <w:p w14:paraId="3DC2D732" w14:textId="77777777" w:rsidR="00034AD2" w:rsidRPr="00933D43" w:rsidRDefault="00034AD2" w:rsidP="002D2E3F">
                        <w:pPr>
                          <w:spacing w:after="0" w:line="240" w:lineRule="auto"/>
                          <w:jc w:val="center"/>
                          <w:rPr>
                            <w:sz w:val="20"/>
                          </w:rPr>
                        </w:pPr>
                        <w:r>
                          <w:rPr>
                            <w:sz w:val="20"/>
                          </w:rPr>
                          <w:t xml:space="preserve">Provedení kontroly minimálně u 10 zdrojů OZE z každé skupiny </w:t>
                        </w:r>
                      </w:p>
                    </w:txbxContent>
                  </v:textbox>
                </v:roundrect>
                <v:shape id="Přímá spojnice se šipkou 146" o:spid="_x0000_s1082" type="#_x0000_t32" style="position:absolute;left:10287;top:11049;width:954;height:518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9UUVsEAAADcAAAADwAAAGRycy9kb3ducmV2LnhtbERPzWqDQBC+B/oOyxR6i2tCK8G4hpIQ&#10;KCUXTR5gcKcqurPirtG8fbcQ6G0+vt/JDovpxZ1G11pWsIliEMSV1S3XCm7X83oHwnlkjb1lUvAg&#10;B4f8ZZVhqu3MBd1LX4sQwi5FBY33Qyqlqxoy6CI7EAfux44GfYBjLfWIcwg3vdzGcSINthwaGhzo&#10;2FDVlZNRcDpOxYT+kXx/dHU3LHTZnOZKqbfX5XMPwtPi/8VP95cO898T+HsmXCDz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1RRWwQAAANwAAAAPAAAAAAAAAAAAAAAA&#10;AKECAABkcnMvZG93bnJldi54bWxQSwUGAAAAAAQABAD5AAAAjwMAAAAA&#10;" strokecolor="#e31b23" strokeweight=".5pt">
                  <v:stroke endarrow="block" joinstyle="miter"/>
                </v:shape>
                <v:roundrect id="Zaoblený obdélník 145" o:spid="_x0000_s1083" style="position:absolute;left:36004;top:16287;width:24047;height:34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9HgMIA&#10;AADcAAAADwAAAGRycy9kb3ducmV2LnhtbERP22rCQBB9L/gPywi+1Y1iQ4muIkJCyVMb+wFDdkyC&#10;2dmQ3ebi17uFQt/mcK5zOE2mFQP1rrGsYLOOQBCXVjdcKfi+pq/vIJxH1thaJgUzOTgdFy8HTLQd&#10;+YuGwlcihLBLUEHtfZdI6cqaDLq17YgDd7O9QR9gX0nd4xjCTSu3URRLgw2Hhho7utRU3osfo6B5&#10;3D7vWTRfxzTPu2qIs3Q7ZUqtltN5D8LT5P/Ff+4PHebv3uD3mXCBP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z0eAwgAAANwAAAAPAAAAAAAAAAAAAAAAAJgCAABkcnMvZG93&#10;bnJldi54bWxQSwUGAAAAAAQABAD1AAAAhwMAAAAA&#10;" fillcolor="#e31b23" strokecolor="#a71117" strokeweight="1pt">
                  <v:stroke joinstyle="miter"/>
                  <v:textbox>
                    <w:txbxContent>
                      <w:p w14:paraId="7BD464B8" w14:textId="77777777" w:rsidR="00034AD2" w:rsidRDefault="00034AD2" w:rsidP="00417D4C">
                        <w:pPr>
                          <w:jc w:val="center"/>
                        </w:pPr>
                        <w:r>
                          <w:rPr>
                            <w:sz w:val="20"/>
                          </w:rPr>
                          <w:t>Dvě varianty postupu na volbě výrobce</w:t>
                        </w:r>
                      </w:p>
                    </w:txbxContent>
                  </v:textbox>
                </v:roundrect>
                <v:shape id="Přímá spojnice se šipkou 144" o:spid="_x0000_s1084" type="#_x0000_t32" style="position:absolute;left:33051;top:11144;width:12453;height:51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gmLcQAAADcAAAADwAAAGRycy9kb3ducmV2LnhtbERPTWvCQBC9F/oflin0VjctEiR1lSKt&#10;eFCKRqrHMTtmQ7OzIbuN0V/vFgRv83ifM572thYdtb5yrOB1kIAgLpyuuFSwzb9eRiB8QNZYOyYF&#10;Z/IwnTw+jDHT7sRr6jahFDGEfYYKTAhNJqUvDFn0A9cQR+7oWoshwraUusVTDLe1fEuSVFqsODYY&#10;bGhmqPjd/FkFdr7+Xl1+Dvnsku8M7z/TbrlMlXp+6j/eQQTqw118cy90nD8cwv8z8QI5u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6CYtxAAAANwAAAAPAAAAAAAAAAAA&#10;AAAAAKECAABkcnMvZG93bnJldi54bWxQSwUGAAAAAAQABAD5AAAAkgMAAAAA&#10;" strokecolor="#e31b23" strokeweight=".5pt">
                  <v:stroke endarrow="block" joinstyle="miter"/>
                </v:shape>
                <v:roundrect id="Zaoblený obdélník 143" o:spid="_x0000_s1085" style="position:absolute;left:23526;top:45053;width:15977;height:28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PDTcMA&#10;AADcAAAADwAAAGRycy9kb3ducmV2LnhtbERPS2vCQBC+F/wPyxS8lLqxFinRNQSlpIdeql5yG7PT&#10;JJidDdnNw3/fLQje5uN7zjaZTCMG6lxtWcFyEYEgLqyuuVRwPn2+foBwHlljY5kU3MhBsps9bTHW&#10;duQfGo6+FCGEXYwKKu/bWEpXVGTQLWxLHLhf2xn0AXal1B2OIdw08i2K1tJgzaGhwpb2FRXXY28U&#10;ZIj7nPqXa3ZIV70ddP59OeRKzZ+ndAPC0+Qf4rv7S4f57yv4fyZcIH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PDTcMAAADcAAAADwAAAAAAAAAAAAAAAACYAgAAZHJzL2Rv&#10;d25yZXYueG1sUEsFBgAAAAAEAAQA9QAAAIgDAAAAAA==&#10;" fillcolor="#9ed7f7" strokecolor="#13b5ea" strokeweight=".5pt">
                  <v:fill color2="#7acdf8" rotate="t" colors="0 #9ed7f7;.5 #90d0f4;1 #7acdf8" focus="100%" type="gradient">
                    <o:fill v:ext="view" type="gradientUnscaled"/>
                  </v:fill>
                  <v:stroke joinstyle="miter"/>
                  <v:textbox>
                    <w:txbxContent>
                      <w:p w14:paraId="29EDA082" w14:textId="77777777" w:rsidR="00034AD2" w:rsidRPr="00933D43" w:rsidRDefault="00034AD2" w:rsidP="002D2E3F">
                        <w:pPr>
                          <w:spacing w:after="0" w:line="240" w:lineRule="auto"/>
                          <w:jc w:val="center"/>
                          <w:rPr>
                            <w:sz w:val="20"/>
                          </w:rPr>
                        </w:pPr>
                        <w:r>
                          <w:rPr>
                            <w:sz w:val="20"/>
                          </w:rPr>
                          <w:t>Varianta č. 1</w:t>
                        </w:r>
                      </w:p>
                    </w:txbxContent>
                  </v:textbox>
                </v:roundrect>
                <v:shape id="Přímá spojnice se šipkou 142" o:spid="_x0000_s1086" type="#_x0000_t32" style="position:absolute;left:37147;top:19716;width:7058;height:2534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4SVb0AAADcAAAADwAAAGRycy9kb3ducmV2LnhtbERPSwrCMBDdC94hjOBOU0VFqlFEEUTc&#10;+DnA0IxtaTMpTWrr7Y0guJvH+85625lSvKh2uWUFk3EEgjixOudUweN+HC1BOI+ssbRMCt7kYLvp&#10;99YYa9vylV43n4oQwi5GBZn3VSylSzIy6Ma2Ig7c09YGfYB1KnWNbQg3pZxG0UIazDk0ZFjRPqOk&#10;uDVGwWHfXBv078V5XqRF1dFlcmgTpYaDbrcC4anzf/HPfdJh/mwK32fCBXLz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zuElW9AAAA3AAAAA8AAAAAAAAAAAAAAAAAoQIA&#10;AGRycy9kb3ducmV2LnhtbFBLBQYAAAAABAAEAPkAAACLAwAAAAA=&#10;" strokecolor="#e31b23" strokeweight=".5pt">
                  <v:stroke endarrow="block" joinstyle="miter"/>
                </v:shape>
                <v:roundrect id="Zaoblený obdélník 153" o:spid="_x0000_s1087" style="position:absolute;left:1428;top:25146;width:17133;height:655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wGMUA&#10;AADcAAAADwAAAGRycy9kb3ducmV2LnhtbERP32vCMBB+F/wfwgl7kZluMhnVKCIOZCLT1sEej+Zs&#10;g82lNFG7/fWLMNjbfXw/b7bobC2u1HrjWMHTKAFBXDhtuFRwzN8eX0H4gKyxdkwKvsnDYt7vzTDV&#10;7sYHumahFDGEfYoKqhCaVEpfVGTRj1xDHLmTay2GCNtS6hZvMdzW8jlJJtKi4dhQYUOriopzdrEK&#10;3j93k3y8Hpr8Y32kr9Jszz/7rVIPg245BRGoC//iP/dGx/kvY7g/Ey+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v3AYxQAAANwAAAAPAAAAAAAAAAAAAAAAAJgCAABkcnMv&#10;ZG93bnJldi54bWxQSwUGAAAAAAQABAD1AAAAigMAAAAA&#10;" fillcolor="#de9c9d" strokecolor="#b5121b" strokeweight=".5pt">
                  <v:fill color2="#d2797a" rotate="t" colors="0 #de9c9d;.5 #d48f90;1 #d2797a" focus="100%" type="gradient">
                    <o:fill v:ext="view" type="gradientUnscaled"/>
                  </v:fill>
                  <v:stroke joinstyle="miter"/>
                  <v:textbox>
                    <w:txbxContent>
                      <w:p w14:paraId="318E2F2B" w14:textId="77777777" w:rsidR="00034AD2" w:rsidRPr="00933D43" w:rsidRDefault="00034AD2" w:rsidP="00417D4C">
                        <w:pPr>
                          <w:spacing w:after="0" w:line="240" w:lineRule="auto"/>
                          <w:jc w:val="center"/>
                          <w:rPr>
                            <w:sz w:val="20"/>
                          </w:rPr>
                        </w:pPr>
                        <w:r>
                          <w:rPr>
                            <w:sz w:val="20"/>
                          </w:rPr>
                          <w:t xml:space="preserve">Pokud jiná podpora než podpora elektřiny z OZE zvyšuje IRR do 0,1 % </w:t>
                        </w:r>
                      </w:p>
                    </w:txbxContent>
                  </v:textbox>
                </v:roundrect>
                <v:roundrect id="Zaoblený obdélník 148" o:spid="_x0000_s1088" style="position:absolute;left:20097;top:25050;width:18288;height:619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J0tMgA&#10;AADcAAAADwAAAGRycy9kb3ducmV2LnhtbESPQWvCQBCF74X+h2UKvRTd2IpIdJVSFEqltDUKHofs&#10;mCxmZ0N2q2l/fecg9DbDe/PeN/Nl7xt1pi66wAZGwwwUcRms48rArlgPpqBiQrbYBCYDPxRhubi9&#10;mWNuw4W/6LxNlZIQjjkaqFNqc61jWZPHOAwtsWjH0HlMsnaVth1eJNw3+jHLJtqjY2mosaWXmsrT&#10;9tsbeNu/T4qn1YMrPlY7OlRuc/r93Bhzf9c/z0Al6tO/+Xr9agV/LLTyjEygF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wwnS0yAAAANwAAAAPAAAAAAAAAAAAAAAAAJgCAABk&#10;cnMvZG93bnJldi54bWxQSwUGAAAAAAQABAD1AAAAjQMAAAAA&#10;" fillcolor="#de9c9d" strokecolor="#b5121b" strokeweight=".5pt">
                  <v:fill color2="#d2797a" rotate="t" colors="0 #de9c9d;.5 #d48f90;1 #d2797a" focus="100%" type="gradient">
                    <o:fill v:ext="view" type="gradientUnscaled"/>
                  </v:fill>
                  <v:stroke joinstyle="miter"/>
                  <v:textbox>
                    <w:txbxContent>
                      <w:p w14:paraId="22CFC220" w14:textId="77777777" w:rsidR="00034AD2" w:rsidRPr="00933D43" w:rsidRDefault="00034AD2" w:rsidP="00417D4C">
                        <w:pPr>
                          <w:spacing w:after="0" w:line="240" w:lineRule="auto"/>
                          <w:jc w:val="center"/>
                          <w:rPr>
                            <w:sz w:val="20"/>
                          </w:rPr>
                        </w:pPr>
                        <w:r>
                          <w:rPr>
                            <w:sz w:val="20"/>
                          </w:rPr>
                          <w:t xml:space="preserve">Pokud jiná podpora než podpora elektřiny z OZE zvyšuje IRR nad 0,1 % </w:t>
                        </w:r>
                      </w:p>
                      <w:p w14:paraId="17570744" w14:textId="77777777" w:rsidR="00034AD2" w:rsidRPr="00933D43" w:rsidRDefault="00034AD2" w:rsidP="00417D4C">
                        <w:pPr>
                          <w:jc w:val="center"/>
                          <w:rPr>
                            <w:sz w:val="20"/>
                          </w:rPr>
                        </w:pPr>
                      </w:p>
                    </w:txbxContent>
                  </v:textbox>
                </v:roundrect>
                <v:shape id="Přímá spojnice se šipkou 155" o:spid="_x0000_s1089" type="#_x0000_t32" style="position:absolute;left:9525;top:21336;width:457;height:381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4c/L0AAADcAAAADwAAAGRycy9kb3ducmV2LnhtbERPSwrCMBDdC94hjOBOU4WKVKOIIoi4&#10;8XOAoRnb0mZSmtTW2xtBcDeP9531tjeVeFHjCssKZtMIBHFqdcGZgsf9OFmCcB5ZY2WZFLzJwXYz&#10;HKwx0bbjK71uPhMhhF2CCnLv60RKl+Zk0E1tTRy4p20M+gCbTOoGuxBuKjmPooU0WHBoyLGmfU5p&#10;eWuNgsO+vbbo34tzXGZl3dNlduhSpcajfrcC4an3f/HPfdJhfhzD95lwgdx8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beHPy9AAAA3AAAAA8AAAAAAAAAAAAAAAAAoQIA&#10;AGRycy9kb3ducmV2LnhtbFBLBQYAAAAABAAEAPkAAACLAwAAAAA=&#10;" strokecolor="#e31b23" strokeweight=".5pt">
                  <v:stroke endarrow="block" joinstyle="miter"/>
                </v:shape>
                <v:shape id="Přímá spojnice se šipkou 149" o:spid="_x0000_s1090" type="#_x0000_t32" style="position:absolute;left:14763;top:21336;width:8852;height:30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Js8UAAADcAAAADwAAAGRycy9kb3ducmV2LnhtbERPTWvCQBC9C/0Pywi96cZSgk1dRaQt&#10;PVhEU1qPY3bMhmZnQ3YbU3+9Kwi9zeN9zmzR21p01PrKsYLJOAFBXDhdcangM38dTUH4gKyxdkwK&#10;/sjDYn43mGGm3Ym31O1CKWII+wwVmBCaTEpfGLLox64hjtzRtRZDhG0pdYunGG5r+ZAkqbRYcWww&#10;2NDKUPGz+7UK7Nt283H+OuSrc/5teP+Sdut1qtT9sF8+gwjUh3/xzf2u4/zHJ7g+Ey+Q8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mJs8UAAADcAAAADwAAAAAAAAAA&#10;AAAAAAChAgAAZHJzL2Rvd25yZXYueG1sUEsFBgAAAAAEAAQA+QAAAJMDAAAAAA==&#10;" strokecolor="#e31b23" strokeweight=".5pt">
                  <v:stroke endarrow="block" joinstyle="miter"/>
                </v:shape>
                <v:roundrect id="Zaoblený obdélník 154" o:spid="_x0000_s1091" style="position:absolute;left:-205;top:35253;width:19582;height:95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p0xsIA&#10;AADcAAAADwAAAGRycy9kb3ducmV2LnhtbERP22rCQBB9L/gPywi+1Y1iQ4muIkJCyVMb+wFDdkyC&#10;2dmQ3ebi17uFQt/mcK5zOE2mFQP1rrGsYLOOQBCXVjdcKfi+pq/vIJxH1thaJgUzOTgdFy8HTLQd&#10;+YuGwlcihLBLUEHtfZdI6cqaDLq17YgDd7O9QR9gX0nd4xjCTSu3URRLgw2Hhho7utRU3osfo6B5&#10;3D7vWTRfxzTPu2qIs3Q7ZUqtltN5D8LT5P/Ff+4PHea/7eD3mXCBP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WnTGwgAAANwAAAAPAAAAAAAAAAAAAAAAAJgCAABkcnMvZG93&#10;bnJldi54bWxQSwUGAAAAAAQABAD1AAAAhwMAAAAA&#10;" fillcolor="#e31b23" strokecolor="#a71117" strokeweight="1pt">
                  <v:stroke joinstyle="miter"/>
                  <v:textbox>
                    <w:txbxContent>
                      <w:p w14:paraId="370576D4" w14:textId="6571F15A" w:rsidR="00034AD2" w:rsidRPr="00933D43" w:rsidRDefault="00034AD2" w:rsidP="00E35AFD">
                        <w:pPr>
                          <w:spacing w:after="0" w:line="240" w:lineRule="auto"/>
                          <w:jc w:val="center"/>
                          <w:rPr>
                            <w:sz w:val="20"/>
                          </w:rPr>
                        </w:pPr>
                        <w:r>
                          <w:rPr>
                            <w:sz w:val="20"/>
                          </w:rPr>
                          <w:t xml:space="preserve">Přechod do kontroly příslušející zdrojům, které čerpají pouze podporu elektřiny z OZE – kontrola reprezentativního vzorku zdrojů OZE </w:t>
                        </w:r>
                      </w:p>
                      <w:p w14:paraId="67AC6BD8" w14:textId="77777777" w:rsidR="00034AD2" w:rsidRPr="00933D43" w:rsidRDefault="00034AD2" w:rsidP="00417D4C">
                        <w:pPr>
                          <w:spacing w:after="0" w:line="240" w:lineRule="auto"/>
                          <w:jc w:val="center"/>
                          <w:rPr>
                            <w:sz w:val="20"/>
                          </w:rPr>
                        </w:pPr>
                      </w:p>
                    </w:txbxContent>
                  </v:textbox>
                </v:roundrect>
                <v:roundrect id="Zaoblený obdélník 147" o:spid="_x0000_s1092" style="position:absolute;left:20859;top:35528;width:16269;height:46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F8bMEA&#10;AADcAAAADwAAAGRycy9kb3ducmV2LnhtbERPzYrCMBC+C/sOYYS9aaosrnRNZVloEU+u+gBDM7al&#10;zaQ0sa0+vREEb/Px/c5mO5pG9NS5yrKCxTwCQZxbXXGh4HxKZ2sQziNrbCyTghs52CYfkw3G2g78&#10;T/3RFyKEsItRQel9G0vp8pIMurltiQN3sZ1BH2BXSN3hEMJNI5dRtJIGKw4NJbb0V1JeH69GQXW/&#10;HOosup2GdL9vi36VpcsxU+pzOv7+gPA0+rf45d7pMP/rG57PhAtk8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9RfGzBAAAA3AAAAA8AAAAAAAAAAAAAAAAAmAIAAGRycy9kb3du&#10;cmV2LnhtbFBLBQYAAAAABAAEAPUAAACGAwAAAAA=&#10;" fillcolor="#e31b23" strokecolor="#a71117" strokeweight="1pt">
                  <v:stroke joinstyle="miter"/>
                  <v:textbox>
                    <w:txbxContent>
                      <w:p w14:paraId="33FAB8C6" w14:textId="77777777" w:rsidR="00034AD2" w:rsidRPr="00933D43" w:rsidRDefault="00034AD2" w:rsidP="002D2E3F">
                        <w:pPr>
                          <w:spacing w:after="0" w:line="240" w:lineRule="auto"/>
                          <w:jc w:val="center"/>
                          <w:rPr>
                            <w:sz w:val="20"/>
                          </w:rPr>
                        </w:pPr>
                        <w:r>
                          <w:rPr>
                            <w:sz w:val="20"/>
                          </w:rPr>
                          <w:t>Postupuje se podle podrobné kontroly</w:t>
                        </w:r>
                      </w:p>
                    </w:txbxContent>
                  </v:textbox>
                </v:roundrect>
                <v:shape id="Přímá spojnice se šipkou 152" o:spid="_x0000_s1093" type="#_x0000_t32" style="position:absolute;left:9144;top:31718;width:694;height:32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eEiL0AAADcAAAADwAAAGRycy9kb3ducmV2LnhtbERPSwrCMBDdC94hjODOpgqKVKOIIoi4&#10;8XOAoRnb0mZSmtTW2xtBcDeP9531tjeVeFHjCssKplEMgji1uuBMweN+nCxBOI+ssbJMCt7kYLsZ&#10;DtaYaNvxlV43n4kQwi5BBbn3dSKlS3My6CJbEwfuaRuDPsAmk7rBLoSbSs7ieCENFhwacqxpn1Na&#10;3lqj4LBvry369+I8L7Oy7ukyPXSpUuNRv1uB8NT7v/jnPukwfz6D7zPhArn5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k3hIi9AAAA3AAAAA8AAAAAAAAAAAAAAAAAoQIA&#10;AGRycy9kb3ducmV2LnhtbFBLBQYAAAAABAAEAPkAAACLAwAAAAA=&#10;" strokecolor="#e31b23" strokeweight=".5pt">
                  <v:stroke endarrow="block" joinstyle="miter"/>
                </v:shape>
                <v:shape id="Přímá spojnice se šipkou 137" o:spid="_x0000_s1094" type="#_x0000_t32" style="position:absolute;left:28860;top:31242;width:457;height:41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zLJ8UAAADcAAAADwAAAGRycy9kb3ducmV2LnhtbERPTWvCQBC9C/0Pywi96cYWYkldRaQt&#10;PVhEU1qPY3bMhmZnQ3YbU3+9Kwi9zeN9zmzR21p01PrKsYLJOAFBXDhdcangM38dPYHwAVlj7ZgU&#10;/JGHxfxuMMNMuxNvqduFUsQQ9hkqMCE0mZS+MGTRj11DHLmjay2GCNtS6hZPMdzW8iFJUmmx4thg&#10;sKGVoeJn92sV2Lft5uP8dchX5/zb8P4l7dbrVKn7Yb98BhGoD//im/tdx/mPU7g+Ey+Q8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TzLJ8UAAADcAAAADwAAAAAAAAAA&#10;AAAAAAChAgAAZHJzL2Rvd25yZXYueG1sUEsFBgAAAAAEAAQA+QAAAJMDAAAAAA==&#10;" strokecolor="#e31b23" strokeweight=".5pt">
                  <v:stroke endarrow="block" joinstyle="miter"/>
                </v:shape>
                <v:roundrect id="Zaoblený obdélník 140" o:spid="_x0000_s1095" style="position:absolute;left:44196;top:36385;width:16337;height:287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HjjsUA&#10;AADcAAAADwAAAGRycy9kb3ducmV2LnhtbESPQWvCQBCF7wX/wzKCt7qpSJDUVUQQRKRQLdjexuw0&#10;CcnOhuxq4r/vHAreZnhv3vtmuR5co+7UhcqzgbdpAoo497biwsDXefe6ABUissXGMxl4UID1avSy&#10;xMz6nj/pfoqFkhAOGRooY2wzrUNeksMw9S2xaL++cxhl7QptO+wl3DV6liSpdlixNJTY0rakvD7d&#10;nIH08MHX+vpz3FTfsX9sL0m6uNTGTMbD5h1UpCE+zf/Xeyv4c8GXZ2QCv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8eOOxQAAANwAAAAPAAAAAAAAAAAAAAAAAJgCAABkcnMv&#10;ZG93bnJldi54bWxQSwUGAAAAAAQABAD1AAAAigMAAAAA&#10;" fillcolor="#b9e0f7" strokecolor="#87a4b6" strokeweight="1pt">
                  <v:stroke joinstyle="miter"/>
                  <v:textbox>
                    <w:txbxContent>
                      <w:p w14:paraId="7769CA23" w14:textId="77777777" w:rsidR="00034AD2" w:rsidRPr="00D3208C" w:rsidRDefault="00034AD2" w:rsidP="002D2E3F">
                        <w:pPr>
                          <w:spacing w:after="0" w:line="240" w:lineRule="auto"/>
                          <w:jc w:val="center"/>
                          <w:rPr>
                            <w:sz w:val="20"/>
                          </w:rPr>
                        </w:pPr>
                        <w:r>
                          <w:rPr>
                            <w:sz w:val="20"/>
                          </w:rPr>
                          <w:t>Varianta č. 2</w:t>
                        </w:r>
                      </w:p>
                    </w:txbxContent>
                  </v:textbox>
                </v:roundrect>
                <v:roundrect id="Zaoblený obdélník 134" o:spid="_x0000_s1096" style="position:absolute;left:41433;top:45053;width:19654;height:1123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Vi5L4A&#10;AADcAAAADwAAAGRycy9kb3ducmV2LnhtbERPSwrCMBDdC94hjOBOUz+oVKOIIIgLQdsDDM3YFptJ&#10;aWKttzeC4G4e7zubXWcq0VLjSssKJuMIBHFmdcm5gjQ5jlYgnEfWWFkmBW9ysNv2exuMtX3xldqb&#10;z0UIYRejgsL7OpbSZQUZdGNbEwfubhuDPsAml7rBVwg3lZxG0UIaLDk0FFjToaDscXsaBZeEdXdM&#10;q/K8aM+zwyW9L7NIKjUcdPs1CE+d/4t/7pMO82dz+D4TLpD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Z1YuS+AAAA3AAAAA8AAAAAAAAAAAAAAAAAmAIAAGRycy9kb3ducmV2&#10;LnhtbFBLBQYAAAAABAAEAPUAAACDAwAAAAA=&#10;" fillcolor="#ef767b" strokecolor="#87a4b6" strokeweight="1pt">
                  <v:stroke joinstyle="miter"/>
                  <v:textbox>
                    <w:txbxContent>
                      <w:p w14:paraId="3A655EA5" w14:textId="77777777" w:rsidR="00034AD2" w:rsidRPr="00D3208C" w:rsidRDefault="00034AD2" w:rsidP="00417D4C">
                        <w:pPr>
                          <w:spacing w:after="0" w:line="240" w:lineRule="auto"/>
                          <w:jc w:val="center"/>
                          <w:rPr>
                            <w:sz w:val="20"/>
                          </w:rPr>
                        </w:pPr>
                        <w:r>
                          <w:rPr>
                            <w:sz w:val="20"/>
                          </w:rPr>
                          <w:t xml:space="preserve">Dobrovolné přistoupení výrobce na odečtení jiné provozní podpory anebo investiční podpory (vhodným opatřením k odčerpání) bez provedení podrobné kontroly </w:t>
                        </w:r>
                      </w:p>
                    </w:txbxContent>
                  </v:textbox>
                </v:roundrect>
                <v:roundrect id="Zaoblený obdélník 133" o:spid="_x0000_s1097" style="position:absolute;left:23526;top:62579;width:19654;height:295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UOhMIA&#10;AADcAAAADwAAAGRycy9kb3ducmV2LnhtbERPTYvCMBC9C/sfwix401SFItUoIiwssgirQvU2NmNb&#10;2kxKk7X1328Ewds83ucs172pxZ1aV1pWMBlHIIgzq0vOFZyOX6M5COeRNdaWScGDHKxXH4MlJtp2&#10;/Ev3g89FCGGXoILC+yaR0mUFGXRj2xAH7mZbgz7ANpe6xS6Em1pOoyiWBksODQU2tC0oqw5/RkG8&#10;2/O1ul5+NuXZd49tGsXztFJq+NlvFiA89f4tfrm/dZg/m8HzmXCB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JQ6EwgAAANwAAAAPAAAAAAAAAAAAAAAAAJgCAABkcnMvZG93&#10;bnJldi54bWxQSwUGAAAAAAQABAD1AAAAhwMAAAAA&#10;" fillcolor="#b9e0f7" strokecolor="#87a4b6" strokeweight="1pt">
                  <v:stroke joinstyle="miter"/>
                  <v:textbox>
                    <w:txbxContent>
                      <w:p w14:paraId="2F7DC692" w14:textId="77777777" w:rsidR="00034AD2" w:rsidRPr="00D3208C" w:rsidRDefault="00034AD2" w:rsidP="002D2E3F">
                        <w:pPr>
                          <w:spacing w:after="0" w:line="240" w:lineRule="auto"/>
                          <w:jc w:val="center"/>
                          <w:rPr>
                            <w:sz w:val="20"/>
                          </w:rPr>
                        </w:pPr>
                        <w:r>
                          <w:rPr>
                            <w:sz w:val="20"/>
                          </w:rPr>
                          <w:t>U jiné provozní podpory</w:t>
                        </w:r>
                      </w:p>
                    </w:txbxContent>
                  </v:textbox>
                </v:roundrect>
                <v:roundrect id="Zaoblený obdélník 132" o:spid="_x0000_s1098" style="position:absolute;left:44196;top:62579;width:19653;height:26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mrH8MA&#10;AADcAAAADwAAAGRycy9kb3ducmV2LnhtbERPTWuDQBC9B/oflin0FtekIGKzCSFQKKUUagOmt9Gd&#10;qOjOiruN5t93A4He5vE+Z7ObTS8uNLrWsoJVFIMgrqxuuVZw/H5dpiCcR9bYWyYFV3Kw2z4sNphp&#10;O/EXXXJfixDCLkMFjfdDJqWrGjLoIjsQB+5sR4M+wLGWesQphJteruM4kQZbDg0NDnRoqOryX6Mg&#10;ef/ksit/PvbtyU/XQxEnadEp9fQ4719AeJr9v/juftNh/vMabs+EC+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mrH8MAAADcAAAADwAAAAAAAAAAAAAAAACYAgAAZHJzL2Rv&#10;d25yZXYueG1sUEsFBgAAAAAEAAQA9QAAAIgDAAAAAA==&#10;" fillcolor="#b9e0f7" strokecolor="#87a4b6" strokeweight="1pt">
                  <v:stroke joinstyle="miter"/>
                  <v:textbox>
                    <w:txbxContent>
                      <w:p w14:paraId="5AA361BA" w14:textId="77777777" w:rsidR="00034AD2" w:rsidRPr="00D3208C" w:rsidRDefault="00034AD2" w:rsidP="002D2E3F">
                        <w:pPr>
                          <w:spacing w:after="0" w:line="240" w:lineRule="auto"/>
                          <w:jc w:val="center"/>
                          <w:rPr>
                            <w:sz w:val="20"/>
                          </w:rPr>
                        </w:pPr>
                        <w:r>
                          <w:rPr>
                            <w:sz w:val="20"/>
                          </w:rPr>
                          <w:t>U investiční podpory</w:t>
                        </w:r>
                      </w:p>
                    </w:txbxContent>
                  </v:textbox>
                </v:roundrect>
                <v:roundrect id="Zaoblený obdélník 130" o:spid="_x0000_s1099" style="position:absolute;left:43717;top:69201;width:19654;height:6493;visibility:visible;mso-wrap-style:square;v-text-anchor:middle" arcsize="1003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bRfMYA&#10;AADcAAAADwAAAGRycy9kb3ducmV2LnhtbESPQUvDQBCF74L/YRnBm90YUUrstoSCIIqirWJ7G7Jj&#10;EszOxuy0if/eOQjeZnhv3vtmsZpCZ440pDayg8tZBoa4ir7l2sHb9u5iDiYJsscuMjn4oQSr5enJ&#10;AgsfR36l40ZqoyGcCnTQiPSFtalqKGCaxZ5Ytc84BBRdh9r6AUcND53Ns+zGBmxZGxrsad1Q9bU5&#10;BAcfT3Iov20+rh921XuZy/7l8fnaufOzqbwFIzTJv/nv+t4r/pXi6zM6gV3+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gbRfMYAAADcAAAADwAAAAAAAAAAAAAAAACYAgAAZHJz&#10;L2Rvd25yZXYueG1sUEsFBgAAAAAEAAQA9QAAAIsDAAAAAA==&#10;" fillcolor="#de9c9d" strokecolor="#b5121b" strokeweight=".5pt">
                  <v:fill color2="#d2797a" rotate="t" colors="0 #de9c9d;.5 #d48f90;1 #d2797a" focus="100%" type="gradient">
                    <o:fill v:ext="view" type="gradientUnscaled"/>
                  </v:fill>
                  <v:stroke joinstyle="miter"/>
                  <v:textbox>
                    <w:txbxContent>
                      <w:p w14:paraId="7DA14E0B" w14:textId="0A0DD200" w:rsidR="00034AD2" w:rsidRPr="00785ED0" w:rsidRDefault="00034AD2" w:rsidP="00417D4C">
                        <w:pPr>
                          <w:tabs>
                            <w:tab w:val="left" w:pos="709"/>
                          </w:tabs>
                          <w:spacing w:after="0" w:line="240" w:lineRule="auto"/>
                          <w:jc w:val="both"/>
                          <w:rPr>
                            <w:iCs/>
                            <w:sz w:val="20"/>
                          </w:rPr>
                        </w:pPr>
                        <w:r w:rsidRPr="00785ED0">
                          <w:rPr>
                            <w:sz w:val="20"/>
                          </w:rPr>
                          <w:t xml:space="preserve">Vrácení </w:t>
                        </w:r>
                        <w:r>
                          <w:rPr>
                            <w:sz w:val="20"/>
                          </w:rPr>
                          <w:t>podpory může být provedeno například principem tzv. „odečítacího“ vzorečku</w:t>
                        </w:r>
                        <w:r w:rsidRPr="00785ED0">
                          <w:rPr>
                            <w:sz w:val="20"/>
                          </w:rPr>
                          <w:t>.</w:t>
                        </w:r>
                      </w:p>
                      <w:p w14:paraId="303C03B1" w14:textId="77777777" w:rsidR="00034AD2" w:rsidRPr="00933D43" w:rsidRDefault="00034AD2" w:rsidP="00417D4C">
                        <w:pPr>
                          <w:jc w:val="center"/>
                          <w:rPr>
                            <w:sz w:val="20"/>
                          </w:rPr>
                        </w:pPr>
                      </w:p>
                    </w:txbxContent>
                  </v:textbox>
                </v:roundrect>
                <v:roundrect id="Zaoblený obdélník 138" o:spid="_x0000_s1100" style="position:absolute;left:15525;top:54768;width:21451;height:446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QHyccA&#10;AADcAAAADwAAAGRycy9kb3ducmV2LnhtbESPQUvDQBCF74L/YRnBi5iNForEbopIBbFINanQ45Cd&#10;JkuzsyG7ttFf3zkI3mZ4b977ZrGcfK+ONEYX2MBdloMiboJ13BrY1i+3D6BiQrbYByYDPxRhWV5e&#10;LLCw4cSfdKxSqySEY4EGupSGQuvYdOQxZmEgFm0fRo9J1rHVdsSThPte3+f5XHt0LA0dDvTcUXOo&#10;vr2Bt6/3eT1b3bh6s9rSrnXrw+/H2pjrq+npEVSiKf2b/65freDPhFaekQl0eQ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jEB8nHAAAA3AAAAA8AAAAAAAAAAAAAAAAAmAIAAGRy&#10;cy9kb3ducmV2LnhtbFBLBQYAAAAABAAEAPUAAACMAwAAAAA=&#10;" fillcolor="#de9c9d" strokecolor="#b5121b" strokeweight=".5pt">
                  <v:fill color2="#d2797a" rotate="t" colors="0 #de9c9d;.5 #d48f90;1 #d2797a" focus="100%" type="gradient">
                    <o:fill v:ext="view" type="gradientUnscaled"/>
                  </v:fill>
                  <v:stroke joinstyle="miter"/>
                  <v:textbox>
                    <w:txbxContent>
                      <w:p w14:paraId="4ADD7AD6" w14:textId="63BDBDD2" w:rsidR="00034AD2" w:rsidRPr="00E51BE3" w:rsidRDefault="00034AD2" w:rsidP="00417D4C">
                        <w:pPr>
                          <w:spacing w:after="0" w:line="240" w:lineRule="auto"/>
                          <w:jc w:val="center"/>
                          <w:rPr>
                            <w:sz w:val="20"/>
                          </w:rPr>
                        </w:pPr>
                        <w:r w:rsidRPr="00E51BE3">
                          <w:rPr>
                            <w:sz w:val="20"/>
                          </w:rPr>
                          <w:t xml:space="preserve">Provedení podrobné </w:t>
                        </w:r>
                        <w:r>
                          <w:rPr>
                            <w:sz w:val="20"/>
                          </w:rPr>
                          <w:t>kontroly</w:t>
                        </w:r>
                        <w:r w:rsidRPr="00E51BE3">
                          <w:rPr>
                            <w:sz w:val="20"/>
                          </w:rPr>
                          <w:t xml:space="preserve"> </w:t>
                        </w:r>
                      </w:p>
                    </w:txbxContent>
                  </v:textbox>
                </v:roundrect>
                <v:shape id="Přímá spojnice se šipkou 136" o:spid="_x0000_s1101" type="#_x0000_t32" style="position:absolute;left:26574;top:48006;width:3888;height:676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NnK8EAAADcAAAADwAAAGRycy9kb3ducmV2LnhtbERPzWqDQBC+B/oOyxR6i2tSKsG4hpIQ&#10;KCUXTR5gcKcqurPirtG8fbcQ6G0+vt/JDovpxZ1G11pWsIliEMSV1S3XCm7X83oHwnlkjb1lUvAg&#10;B4f8ZZVhqu3MBd1LX4sQwi5FBY33Qyqlqxoy6CI7EAfux44GfYBjLfWIcwg3vdzGcSINthwaGhzo&#10;2FDVlZNRcDpOxYT+kXx/dHU3LHTZnOZKqbfX5XMPwtPi/8VP95cO898T+HsmXCDz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702crwQAAANwAAAAPAAAAAAAAAAAAAAAA&#10;AKECAABkcnMvZG93bnJldi54bWxQSwUGAAAAAAQABAD5AAAAjwMAAAAA&#10;" strokecolor="#e31b23" strokeweight=".5pt">
                  <v:stroke endarrow="block" joinstyle="miter"/>
                </v:shape>
                <v:roundrect id="Zaoblený obdélník 141" o:spid="_x0000_s1102" style="position:absolute;top:63246;width:18643;height:806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1GFcIA&#10;AADcAAAADwAAAGRycy9kb3ducmV2LnhtbERP24rCMBB9F/Yfwgi+aaosRbpGEWFBlkXwAnXfxmZs&#10;S5tJabK2/r0RBN/mcK6zWPWmFjdqXWlZwXQSgSDOrC45V3A6fo/nIJxH1lhbJgV3crBafgwWmGjb&#10;8Z5uB5+LEMIuQQWF900ipcsKMugmtiEO3NW2Bn2AbS51i10IN7WcRVEsDZYcGgpsaFNQVh3+jYL4&#10;Z8eX6vL3uy7Pvrtv0iiep5VSo2G//gLhqfdv8cu91WH+5xSez4QL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vUYVwgAAANwAAAAPAAAAAAAAAAAAAAAAAJgCAABkcnMvZG93&#10;bnJldi54bWxQSwUGAAAAAAQABAD1AAAAhwMAAAAA&#10;" fillcolor="#b9e0f7" strokecolor="#87a4b6" strokeweight="1pt">
                  <v:stroke joinstyle="miter"/>
                  <v:textbox>
                    <w:txbxContent>
                      <w:p w14:paraId="76CBC91B" w14:textId="77777777" w:rsidR="00034AD2" w:rsidRPr="00D3208C" w:rsidRDefault="00034AD2" w:rsidP="00417D4C">
                        <w:pPr>
                          <w:spacing w:after="0" w:line="240" w:lineRule="auto"/>
                          <w:jc w:val="center"/>
                          <w:rPr>
                            <w:sz w:val="20"/>
                          </w:rPr>
                        </w:pPr>
                        <w:r>
                          <w:rPr>
                            <w:sz w:val="20"/>
                          </w:rPr>
                          <w:t xml:space="preserve">Při zjištění nepřiměřené podpory bude zavedeno konkrétní opatření k jejímu odčerpání (viz. varianta č. 2) </w:t>
                        </w:r>
                      </w:p>
                    </w:txbxContent>
                  </v:textbox>
                </v:roundrect>
                <v:shape id="Přímá spojnice se šipkou 135" o:spid="_x0000_s1103" type="#_x0000_t32" style="position:absolute;left:10001;top:59150;width:10849;height:403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H5XL0AAADcAAAADwAAAGRycy9kb3ducmV2LnhtbERPSwrCMBDdC94hjOBOUxVFqlFEEUTc&#10;+DnA0IxtaTMpTWrr7Y0guJvH+85625lSvKh2uWUFk3EEgjixOudUweN+HC1BOI+ssbRMCt7kYLvp&#10;99YYa9vylV43n4oQwi5GBZn3VSylSzIy6Ma2Ig7c09YGfYB1KnWNbQg3pZxG0UIazDk0ZFjRPqOk&#10;uDVGwWHfXBv078V5XqRF1dFlcmgTpYaDbrcC4anzf/HPfdJh/mwO32fCBXLz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sB+Vy9AAAA3AAAAA8AAAAAAAAAAAAAAAAAoQIA&#10;AGRycy9kb3ducmV2LnhtbFBLBQYAAAAABAAEAPkAAACLAwAAAAA=&#10;" strokecolor="#e31b23" strokeweight=".5pt">
                  <v:stroke endarrow="block" joinstyle="miter"/>
                </v:shape>
                <v:roundrect id="Zaoblený obdélník 131" o:spid="_x0000_s1104" style="position:absolute;left:19480;top:69199;width:22815;height:64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6uVMQA&#10;AADcAAAADwAAAGRycy9kb3ducmV2LnhtbERP32vCMBB+H/g/hBv4MmaqgoxqlCEOhiJuVsHHoznb&#10;YHMpTdTqX2+Ewd7u4/t5k1lrK3GhxhvHCvq9BARx7rThQsEu+3r/AOEDssbKMSm4kYfZtPMywVS7&#10;K//SZRsKEUPYp6igDKFOpfR5SRZ9z9XEkTu6xmKIsCmkbvAaw20lB0kykhYNx4YSa5qXlJ+2Z6tg&#10;uV+PsuHizWSbxY4OhVmd7j8rpbqv7ecYRKA2/Iv/3N86zh/24flMvEB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rlTEAAAA3AAAAA8AAAAAAAAAAAAAAAAAmAIAAGRycy9k&#10;b3ducmV2LnhtbFBLBQYAAAAABAAEAPUAAACJAwAAAAA=&#10;" fillcolor="#de9c9d" strokecolor="#b5121b" strokeweight=".5pt">
                  <v:fill color2="#d2797a" rotate="t" colors="0 #de9c9d;.5 #d48f90;1 #d2797a" focus="100%" type="gradient">
                    <o:fill v:ext="view" type="gradientUnscaled"/>
                  </v:fill>
                  <v:stroke joinstyle="miter"/>
                  <v:textbox>
                    <w:txbxContent>
                      <w:p w14:paraId="3AB074DB" w14:textId="39FDCA5C" w:rsidR="00034AD2" w:rsidRPr="00785ED0" w:rsidRDefault="00034AD2" w:rsidP="00417D4C">
                        <w:pPr>
                          <w:tabs>
                            <w:tab w:val="left" w:pos="709"/>
                          </w:tabs>
                          <w:spacing w:after="0" w:line="240" w:lineRule="auto"/>
                          <w:jc w:val="both"/>
                          <w:rPr>
                            <w:iCs/>
                            <w:sz w:val="20"/>
                          </w:rPr>
                        </w:pPr>
                        <w:r>
                          <w:rPr>
                            <w:sz w:val="20"/>
                          </w:rPr>
                          <w:t>Vrácení podpory může být provedeno například analogií s principem tzv. „solárního“ odvodu.</w:t>
                        </w:r>
                      </w:p>
                      <w:p w14:paraId="1E7FBEC4" w14:textId="77777777" w:rsidR="00034AD2" w:rsidRPr="00785ED0" w:rsidRDefault="00034AD2" w:rsidP="00417D4C">
                        <w:pPr>
                          <w:spacing w:after="0" w:line="240" w:lineRule="auto"/>
                          <w:jc w:val="center"/>
                          <w:rPr>
                            <w:sz w:val="20"/>
                          </w:rPr>
                        </w:pPr>
                      </w:p>
                    </w:txbxContent>
                  </v:textbox>
                </v:roundrect>
                <v:shape id="Přímá spojnice se šipkou 139" o:spid="_x0000_s1105" type="#_x0000_t32" style="position:absolute;left:46005;top:19716;width:9648;height:166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zsUAAADcAAAADwAAAGRycy9kb3ducmV2LnhtbERPTWvCQBC9C/0Pywi96cYWgk1dRaQt&#10;PVhEU1qPY3bMhmZnQ3YbU3+9Kwi9zeN9zmzR21p01PrKsYLJOAFBXDhdcangM38dTUH4gKyxdkwK&#10;/sjDYn43mGGm3Ym31O1CKWII+wwVmBCaTEpfGLLox64hjtzRtRZDhG0pdYunGG5r+ZAkqbRYcWww&#10;2NDKUPGz+7UK7Nt283H+OuSrc/5teP+Sdut1qtT9sF8+gwjUh3/xzf2u4/zHJ7g+Ey+Q8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6zsUAAADcAAAADwAAAAAAAAAA&#10;AAAAAAChAgAAZHJzL2Rvd25yZXYueG1sUEsFBgAAAAAEAAQA+QAAAJMDAAAAAA==&#10;" strokecolor="#e31b23" strokeweight=".5pt">
                  <v:stroke endarrow="block" joinstyle="miter"/>
                </v:shape>
                <v:shape id="Přímá spojnice se šipkou 76" o:spid="_x0000_s1106" type="#_x0000_t32" style="position:absolute;left:51149;top:39338;width:499;height:56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Bs68UAAADbAAAADwAAAGRycy9kb3ducmV2LnhtbESPQWvCQBSE74X+h+UVequbekgluopI&#10;Kz1YRCPq8Zl9ZkOzb0N2G1N/vSsUehxm5htmMuttLTpqfeVYwesgAUFcOF1xqWCXf7yMQPiArLF2&#10;TAp+ycNs+vgwwUy7C2+o24ZSRAj7DBWYEJpMSl8YsugHriGO3tm1FkOUbSl1i5cIt7UcJkkqLVYc&#10;Fww2tDBUfG9/rAK73Ky/rvtTvrjmB8PH97RbrVKlnp/6+RhEoD78h//an1rBWwr3L/EHyO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SBs68UAAADbAAAADwAAAAAAAAAA&#10;AAAAAAChAgAAZHJzL2Rvd25yZXYueG1sUEsFBgAAAAAEAAQA+QAAAJMDAAAAAA==&#10;" strokecolor="#e31b23" strokeweight=".5pt">
                  <v:stroke endarrow="block" joinstyle="miter"/>
                </v:shape>
                <v:shape id="Přímá spojnice se šipkou 77" o:spid="_x0000_s1107" type="#_x0000_t32" style="position:absolute;left:34385;top:56292;width:11017;height:626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Wzq78AAADbAAAADwAAAGRycy9kb3ducmV2LnhtbESPzQrCMBCE74LvEFbwpqmCP1SjiCKI&#10;ePHnAZZmbUubTWlSW9/eCILHYWa+YdbbzpTiRbXLLSuYjCMQxInVOacKHvfjaAnCeWSNpWVS8CYH&#10;202/t8ZY25av9Lr5VAQIuxgVZN5XsZQuycigG9uKOHhPWxv0Qdap1DW2AW5KOY2iuTSYc1jIsKJ9&#10;Rklxa4yCw765Nujf8/OsSIuqo8vk0CZKDQfdbgXCU+f/4V/7pBUsFvD9En6A3Hw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XWzq78AAADbAAAADwAAAAAAAAAAAAAAAACh&#10;AgAAZHJzL2Rvd25yZXYueG1sUEsFBgAAAAAEAAQA+QAAAI0DAAAAAA==&#10;" strokecolor="#e31b23" strokeweight=".5pt">
                  <v:stroke endarrow="block" joinstyle="miter"/>
                </v:shape>
                <v:shape id="Přímá spojnice se šipkou 78" o:spid="_x0000_s1108" type="#_x0000_t32" style="position:absolute;left:51339;top:56292;width:2520;height:62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dAsIAAADbAAAADwAAAGRycy9kb3ducmV2LnhtbERPz2vCMBS+C/sfwhvspul26EY1isg2&#10;dnCIVtTjs3k2xealNFmt/vXLQfD48f2ezHpbi45aXzlW8DpKQBAXTldcKtjmX8MPED4ga6wdk4Ir&#10;eZhNnwYTzLS78Jq6TShFDGGfoQITQpNJ6QtDFv3INcSRO7nWYoiwLaVu8RLDbS3fkiSVFiuODQYb&#10;Whgqzps/q8B+r1e/t90xX9zyveHDZ9otl6lSL8/9fAwiUB8e4rv7Ryt4j2Pjl/g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NdAsIAAADbAAAADwAAAAAAAAAAAAAA&#10;AAChAgAAZHJzL2Rvd25yZXYueG1sUEsFBgAAAAAEAAQA+QAAAJADAAAAAA==&#10;" strokecolor="#e31b23" strokeweight=".5pt">
                  <v:stroke endarrow="block" joinstyle="miter"/>
                </v:shape>
                <v:shape id="Přímá spojnice se šipkou 79" o:spid="_x0000_s1109" type="#_x0000_t32" style="position:absolute;left:30887;top:65526;width:3436;height:367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aCQsMAAADbAAAADwAAAGRycy9kb3ducmV2LnhtbESP0WqDQBRE3wv9h+UW8lbXFGJb6yol&#10;oVBCX2L6ARf3VkX3rrhr1L/vBgJ5HGbmDJMVi+nFhUbXWlawjWIQxJXVLdcKfs9fz28gnEfW2Fsm&#10;BSs5KPLHhwxTbWc+0aX0tQgQdikqaLwfUild1ZBBF9mBOHh/djTogxxrqUecA9z08iWOE2mw5bDQ&#10;4ED7hqqunIyCw346TejX5Ljr6m5Y6Gd7mCulNk/L5wcIT4u/h2/tb63g9R2uX8IPk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OmgkLDAAAA2wAAAA8AAAAAAAAAAAAA&#10;AAAAoQIAAGRycy9kb3ducmV2LnhtbFBLBQYAAAAABAAEAPkAAACRAwAAAAA=&#10;" strokecolor="#e31b23" strokeweight=".5pt">
                  <v:stroke endarrow="block" joinstyle="miter"/>
                </v:shape>
                <v:shape id="Přímá spojnice se šipkou 80" o:spid="_x0000_s1110" type="#_x0000_t32" style="position:absolute;left:53335;top:65242;width:209;height:39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AhI8IAAADbAAAADwAAAGRycy9kb3ducmV2LnhtbERPz2vCMBS+D/wfwht4m+l2KNIZRUSH&#10;B2Voh3p8Ns+m2LyUJtbOv345DDx+fL8ns97WoqPWV44VvI8SEMSF0xWXCn7y1dsYhA/IGmvHpOCX&#10;PMymg5cJZtrdeUfdPpQihrDPUIEJocmk9IUhi37kGuLIXVxrMUTYllK3eI/htpYfSZJKixXHBoMN&#10;LQwV1/3NKrBfu+/t43DOF4/8aPi0TLvNJlVq+NrPP0EE6sNT/O9eawXjuD5+iT9AT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FAhI8IAAADbAAAADwAAAAAAAAAAAAAA&#10;AAChAgAAZHJzL2Rvd25yZXYueG1sUEsFBgAAAAAEAAQA+QAAAJADAAAAAA==&#10;" strokecolor="#e31b23" strokeweight=".5pt">
                  <v:stroke endarrow="block" joinstyle="miter"/>
                </v:shape>
              </v:group>
            </w:pict>
          </mc:Fallback>
        </mc:AlternateContent>
      </w:r>
    </w:p>
    <w:p w14:paraId="12D0BEEE" w14:textId="2DF3FFE4" w:rsidR="00417D4C" w:rsidRPr="00417D4C" w:rsidRDefault="00417D4C" w:rsidP="00417D4C">
      <w:pPr>
        <w:overflowPunct/>
        <w:autoSpaceDE/>
        <w:autoSpaceDN/>
        <w:adjustRightInd/>
        <w:spacing w:line="293" w:lineRule="auto"/>
        <w:textAlignment w:val="auto"/>
        <w:rPr>
          <w:rFonts w:ascii="Calibri" w:eastAsia="Calibri" w:hAnsi="Calibri"/>
          <w:color w:val="000000"/>
          <w:szCs w:val="22"/>
          <w:lang w:eastAsia="en-US"/>
        </w:rPr>
      </w:pPr>
    </w:p>
    <w:p w14:paraId="6D396D27" w14:textId="12727140" w:rsidR="00417D4C" w:rsidRPr="00417D4C" w:rsidRDefault="00417D4C" w:rsidP="00417D4C">
      <w:pPr>
        <w:overflowPunct/>
        <w:autoSpaceDE/>
        <w:autoSpaceDN/>
        <w:adjustRightInd/>
        <w:spacing w:line="293" w:lineRule="auto"/>
        <w:textAlignment w:val="auto"/>
        <w:rPr>
          <w:rFonts w:ascii="Calibri" w:eastAsia="Calibri" w:hAnsi="Calibri"/>
          <w:color w:val="000000"/>
          <w:szCs w:val="22"/>
          <w:lang w:eastAsia="en-US"/>
        </w:rPr>
      </w:pPr>
    </w:p>
    <w:p w14:paraId="4F1D4FF4" w14:textId="7A38CFE2" w:rsidR="00417D4C" w:rsidRPr="00417D4C" w:rsidRDefault="00417D4C" w:rsidP="00417D4C">
      <w:pPr>
        <w:overflowPunct/>
        <w:autoSpaceDE/>
        <w:autoSpaceDN/>
        <w:adjustRightInd/>
        <w:spacing w:line="293" w:lineRule="auto"/>
        <w:textAlignment w:val="auto"/>
        <w:rPr>
          <w:rFonts w:ascii="Calibri" w:eastAsia="Calibri" w:hAnsi="Calibri"/>
          <w:color w:val="000000"/>
          <w:szCs w:val="22"/>
          <w:lang w:eastAsia="en-US"/>
        </w:rPr>
      </w:pPr>
    </w:p>
    <w:p w14:paraId="329114F0" w14:textId="77777777" w:rsidR="007D785A" w:rsidRDefault="007D785A" w:rsidP="00E95EAA">
      <w:pPr>
        <w:pStyle w:val="Odstavecseseznamem"/>
        <w:tabs>
          <w:tab w:val="left" w:pos="426"/>
        </w:tabs>
        <w:overflowPunct/>
        <w:autoSpaceDE/>
        <w:autoSpaceDN/>
        <w:adjustRightInd/>
        <w:spacing w:after="0" w:line="240" w:lineRule="auto"/>
        <w:ind w:left="284" w:hanging="284"/>
        <w:jc w:val="both"/>
        <w:textAlignment w:val="auto"/>
        <w:rPr>
          <w:b/>
          <w:sz w:val="26"/>
          <w:szCs w:val="26"/>
        </w:rPr>
      </w:pPr>
    </w:p>
    <w:p w14:paraId="02DD181A" w14:textId="5586502E" w:rsidR="00417D4C" w:rsidRDefault="00417D4C" w:rsidP="00E95EAA">
      <w:pPr>
        <w:pStyle w:val="Odstavecseseznamem"/>
        <w:tabs>
          <w:tab w:val="left" w:pos="426"/>
        </w:tabs>
        <w:overflowPunct/>
        <w:autoSpaceDE/>
        <w:autoSpaceDN/>
        <w:adjustRightInd/>
        <w:spacing w:after="0" w:line="240" w:lineRule="auto"/>
        <w:ind w:left="284" w:hanging="284"/>
        <w:jc w:val="both"/>
        <w:textAlignment w:val="auto"/>
        <w:rPr>
          <w:b/>
          <w:sz w:val="26"/>
          <w:szCs w:val="26"/>
        </w:rPr>
      </w:pPr>
    </w:p>
    <w:p w14:paraId="76F259E9" w14:textId="77777777" w:rsidR="00417D4C" w:rsidRDefault="00417D4C" w:rsidP="00E95EAA">
      <w:pPr>
        <w:pStyle w:val="Odstavecseseznamem"/>
        <w:tabs>
          <w:tab w:val="left" w:pos="426"/>
        </w:tabs>
        <w:overflowPunct/>
        <w:autoSpaceDE/>
        <w:autoSpaceDN/>
        <w:adjustRightInd/>
        <w:spacing w:after="0" w:line="240" w:lineRule="auto"/>
        <w:ind w:left="284" w:hanging="284"/>
        <w:jc w:val="both"/>
        <w:textAlignment w:val="auto"/>
        <w:rPr>
          <w:b/>
          <w:sz w:val="26"/>
          <w:szCs w:val="26"/>
        </w:rPr>
      </w:pPr>
    </w:p>
    <w:p w14:paraId="4A702FE4" w14:textId="2F5C1F15" w:rsidR="00417D4C" w:rsidRDefault="00417D4C" w:rsidP="00E95EAA">
      <w:pPr>
        <w:pStyle w:val="Odstavecseseznamem"/>
        <w:tabs>
          <w:tab w:val="left" w:pos="426"/>
        </w:tabs>
        <w:overflowPunct/>
        <w:autoSpaceDE/>
        <w:autoSpaceDN/>
        <w:adjustRightInd/>
        <w:spacing w:after="0" w:line="240" w:lineRule="auto"/>
        <w:ind w:left="284" w:hanging="284"/>
        <w:jc w:val="both"/>
        <w:textAlignment w:val="auto"/>
        <w:rPr>
          <w:b/>
          <w:sz w:val="26"/>
          <w:szCs w:val="26"/>
        </w:rPr>
      </w:pPr>
    </w:p>
    <w:p w14:paraId="4CEA0C21" w14:textId="77777777" w:rsidR="00417D4C" w:rsidRDefault="00417D4C" w:rsidP="00E95EAA">
      <w:pPr>
        <w:pStyle w:val="Odstavecseseznamem"/>
        <w:tabs>
          <w:tab w:val="left" w:pos="426"/>
        </w:tabs>
        <w:overflowPunct/>
        <w:autoSpaceDE/>
        <w:autoSpaceDN/>
        <w:adjustRightInd/>
        <w:spacing w:after="0" w:line="240" w:lineRule="auto"/>
        <w:ind w:left="284" w:hanging="284"/>
        <w:jc w:val="both"/>
        <w:textAlignment w:val="auto"/>
        <w:rPr>
          <w:b/>
          <w:sz w:val="26"/>
          <w:szCs w:val="26"/>
        </w:rPr>
      </w:pPr>
    </w:p>
    <w:p w14:paraId="49E020B5" w14:textId="77777777" w:rsidR="00417D4C" w:rsidRDefault="00417D4C" w:rsidP="00E95EAA">
      <w:pPr>
        <w:pStyle w:val="Odstavecseseznamem"/>
        <w:tabs>
          <w:tab w:val="left" w:pos="426"/>
        </w:tabs>
        <w:overflowPunct/>
        <w:autoSpaceDE/>
        <w:autoSpaceDN/>
        <w:adjustRightInd/>
        <w:spacing w:after="0" w:line="240" w:lineRule="auto"/>
        <w:ind w:left="284" w:hanging="284"/>
        <w:jc w:val="both"/>
        <w:textAlignment w:val="auto"/>
        <w:rPr>
          <w:b/>
          <w:sz w:val="26"/>
          <w:szCs w:val="26"/>
        </w:rPr>
      </w:pPr>
    </w:p>
    <w:p w14:paraId="3653ADF9" w14:textId="77777777" w:rsidR="00417D4C" w:rsidRDefault="00417D4C" w:rsidP="00E95EAA">
      <w:pPr>
        <w:pStyle w:val="Odstavecseseznamem"/>
        <w:tabs>
          <w:tab w:val="left" w:pos="426"/>
        </w:tabs>
        <w:overflowPunct/>
        <w:autoSpaceDE/>
        <w:autoSpaceDN/>
        <w:adjustRightInd/>
        <w:spacing w:after="0" w:line="240" w:lineRule="auto"/>
        <w:ind w:left="284" w:hanging="284"/>
        <w:jc w:val="both"/>
        <w:textAlignment w:val="auto"/>
        <w:rPr>
          <w:b/>
          <w:sz w:val="26"/>
          <w:szCs w:val="26"/>
        </w:rPr>
      </w:pPr>
    </w:p>
    <w:p w14:paraId="43460AB7" w14:textId="77777777" w:rsidR="00417D4C" w:rsidRDefault="00417D4C" w:rsidP="00E95EAA">
      <w:pPr>
        <w:pStyle w:val="Odstavecseseznamem"/>
        <w:tabs>
          <w:tab w:val="left" w:pos="426"/>
        </w:tabs>
        <w:overflowPunct/>
        <w:autoSpaceDE/>
        <w:autoSpaceDN/>
        <w:adjustRightInd/>
        <w:spacing w:after="0" w:line="240" w:lineRule="auto"/>
        <w:ind w:left="284" w:hanging="284"/>
        <w:jc w:val="both"/>
        <w:textAlignment w:val="auto"/>
        <w:rPr>
          <w:b/>
          <w:sz w:val="26"/>
          <w:szCs w:val="26"/>
        </w:rPr>
      </w:pPr>
    </w:p>
    <w:p w14:paraId="7115DF7A" w14:textId="77777777" w:rsidR="00417D4C" w:rsidRDefault="00417D4C" w:rsidP="00E95EAA">
      <w:pPr>
        <w:pStyle w:val="Odstavecseseznamem"/>
        <w:tabs>
          <w:tab w:val="left" w:pos="426"/>
        </w:tabs>
        <w:overflowPunct/>
        <w:autoSpaceDE/>
        <w:autoSpaceDN/>
        <w:adjustRightInd/>
        <w:spacing w:after="0" w:line="240" w:lineRule="auto"/>
        <w:ind w:left="284" w:hanging="284"/>
        <w:jc w:val="both"/>
        <w:textAlignment w:val="auto"/>
        <w:rPr>
          <w:b/>
          <w:sz w:val="26"/>
          <w:szCs w:val="26"/>
        </w:rPr>
      </w:pPr>
    </w:p>
    <w:p w14:paraId="6F2B32B8" w14:textId="77777777" w:rsidR="00417D4C" w:rsidRDefault="00417D4C" w:rsidP="00E95EAA">
      <w:pPr>
        <w:pStyle w:val="Odstavecseseznamem"/>
        <w:tabs>
          <w:tab w:val="left" w:pos="426"/>
        </w:tabs>
        <w:overflowPunct/>
        <w:autoSpaceDE/>
        <w:autoSpaceDN/>
        <w:adjustRightInd/>
        <w:spacing w:after="0" w:line="240" w:lineRule="auto"/>
        <w:ind w:left="284" w:hanging="284"/>
        <w:jc w:val="both"/>
        <w:textAlignment w:val="auto"/>
        <w:rPr>
          <w:b/>
          <w:sz w:val="26"/>
          <w:szCs w:val="26"/>
        </w:rPr>
      </w:pPr>
    </w:p>
    <w:p w14:paraId="6745B028" w14:textId="5549A6E8" w:rsidR="00417D4C" w:rsidRDefault="00417D4C" w:rsidP="00E95EAA">
      <w:pPr>
        <w:pStyle w:val="Odstavecseseznamem"/>
        <w:tabs>
          <w:tab w:val="left" w:pos="426"/>
        </w:tabs>
        <w:overflowPunct/>
        <w:autoSpaceDE/>
        <w:autoSpaceDN/>
        <w:adjustRightInd/>
        <w:spacing w:after="0" w:line="240" w:lineRule="auto"/>
        <w:ind w:left="284" w:hanging="284"/>
        <w:jc w:val="both"/>
        <w:textAlignment w:val="auto"/>
        <w:rPr>
          <w:b/>
          <w:sz w:val="26"/>
          <w:szCs w:val="26"/>
        </w:rPr>
      </w:pPr>
    </w:p>
    <w:p w14:paraId="7783DD59" w14:textId="39964F9C" w:rsidR="00417D4C" w:rsidRDefault="00417D4C" w:rsidP="00E95EAA">
      <w:pPr>
        <w:pStyle w:val="Odstavecseseznamem"/>
        <w:tabs>
          <w:tab w:val="left" w:pos="426"/>
        </w:tabs>
        <w:overflowPunct/>
        <w:autoSpaceDE/>
        <w:autoSpaceDN/>
        <w:adjustRightInd/>
        <w:spacing w:after="0" w:line="240" w:lineRule="auto"/>
        <w:ind w:left="284" w:hanging="284"/>
        <w:jc w:val="both"/>
        <w:textAlignment w:val="auto"/>
        <w:rPr>
          <w:b/>
          <w:sz w:val="26"/>
          <w:szCs w:val="26"/>
        </w:rPr>
      </w:pPr>
    </w:p>
    <w:p w14:paraId="18CF91FA" w14:textId="3C6792E1" w:rsidR="00417D4C" w:rsidRDefault="00417D4C" w:rsidP="00E95EAA">
      <w:pPr>
        <w:pStyle w:val="Odstavecseseznamem"/>
        <w:tabs>
          <w:tab w:val="left" w:pos="426"/>
        </w:tabs>
        <w:overflowPunct/>
        <w:autoSpaceDE/>
        <w:autoSpaceDN/>
        <w:adjustRightInd/>
        <w:spacing w:after="0" w:line="240" w:lineRule="auto"/>
        <w:ind w:left="284" w:hanging="284"/>
        <w:jc w:val="both"/>
        <w:textAlignment w:val="auto"/>
        <w:rPr>
          <w:b/>
          <w:sz w:val="26"/>
          <w:szCs w:val="26"/>
        </w:rPr>
      </w:pPr>
    </w:p>
    <w:p w14:paraId="6E1FD3FF" w14:textId="77777777" w:rsidR="00417D4C" w:rsidRDefault="00417D4C" w:rsidP="00E95EAA">
      <w:pPr>
        <w:pStyle w:val="Odstavecseseznamem"/>
        <w:tabs>
          <w:tab w:val="left" w:pos="426"/>
        </w:tabs>
        <w:overflowPunct/>
        <w:autoSpaceDE/>
        <w:autoSpaceDN/>
        <w:adjustRightInd/>
        <w:spacing w:after="0" w:line="240" w:lineRule="auto"/>
        <w:ind w:left="284" w:hanging="284"/>
        <w:jc w:val="both"/>
        <w:textAlignment w:val="auto"/>
        <w:rPr>
          <w:b/>
          <w:sz w:val="26"/>
          <w:szCs w:val="26"/>
        </w:rPr>
      </w:pPr>
    </w:p>
    <w:p w14:paraId="5614D5F8" w14:textId="15CD2158" w:rsidR="00417D4C" w:rsidRDefault="00417D4C" w:rsidP="00E95EAA">
      <w:pPr>
        <w:pStyle w:val="Odstavecseseznamem"/>
        <w:tabs>
          <w:tab w:val="left" w:pos="426"/>
        </w:tabs>
        <w:overflowPunct/>
        <w:autoSpaceDE/>
        <w:autoSpaceDN/>
        <w:adjustRightInd/>
        <w:spacing w:after="0" w:line="240" w:lineRule="auto"/>
        <w:ind w:left="284" w:hanging="284"/>
        <w:jc w:val="both"/>
        <w:textAlignment w:val="auto"/>
        <w:rPr>
          <w:b/>
          <w:sz w:val="26"/>
          <w:szCs w:val="26"/>
        </w:rPr>
      </w:pPr>
    </w:p>
    <w:p w14:paraId="78618081" w14:textId="5F16E933" w:rsidR="00417D4C" w:rsidRDefault="00417D4C" w:rsidP="00E95EAA">
      <w:pPr>
        <w:pStyle w:val="Odstavecseseznamem"/>
        <w:tabs>
          <w:tab w:val="left" w:pos="426"/>
        </w:tabs>
        <w:overflowPunct/>
        <w:autoSpaceDE/>
        <w:autoSpaceDN/>
        <w:adjustRightInd/>
        <w:spacing w:after="0" w:line="240" w:lineRule="auto"/>
        <w:ind w:left="284" w:hanging="284"/>
        <w:jc w:val="both"/>
        <w:textAlignment w:val="auto"/>
        <w:rPr>
          <w:b/>
          <w:sz w:val="26"/>
          <w:szCs w:val="26"/>
        </w:rPr>
      </w:pPr>
    </w:p>
    <w:p w14:paraId="4F8BC6E7" w14:textId="77777777" w:rsidR="00417D4C" w:rsidRDefault="00417D4C" w:rsidP="00E95EAA">
      <w:pPr>
        <w:pStyle w:val="Odstavecseseznamem"/>
        <w:tabs>
          <w:tab w:val="left" w:pos="426"/>
        </w:tabs>
        <w:overflowPunct/>
        <w:autoSpaceDE/>
        <w:autoSpaceDN/>
        <w:adjustRightInd/>
        <w:spacing w:after="0" w:line="240" w:lineRule="auto"/>
        <w:ind w:left="284" w:hanging="284"/>
        <w:jc w:val="both"/>
        <w:textAlignment w:val="auto"/>
        <w:rPr>
          <w:b/>
          <w:sz w:val="26"/>
          <w:szCs w:val="26"/>
        </w:rPr>
      </w:pPr>
    </w:p>
    <w:p w14:paraId="405A7771" w14:textId="77777777" w:rsidR="00417D4C" w:rsidRDefault="00417D4C" w:rsidP="00E95EAA">
      <w:pPr>
        <w:pStyle w:val="Odstavecseseznamem"/>
        <w:tabs>
          <w:tab w:val="left" w:pos="426"/>
        </w:tabs>
        <w:overflowPunct/>
        <w:autoSpaceDE/>
        <w:autoSpaceDN/>
        <w:adjustRightInd/>
        <w:spacing w:after="0" w:line="240" w:lineRule="auto"/>
        <w:ind w:left="284" w:hanging="284"/>
        <w:jc w:val="both"/>
        <w:textAlignment w:val="auto"/>
        <w:rPr>
          <w:b/>
          <w:sz w:val="26"/>
          <w:szCs w:val="26"/>
        </w:rPr>
      </w:pPr>
    </w:p>
    <w:p w14:paraId="69A4F6A0" w14:textId="77777777" w:rsidR="00417D4C" w:rsidRDefault="00417D4C" w:rsidP="00E95EAA">
      <w:pPr>
        <w:pStyle w:val="Odstavecseseznamem"/>
        <w:tabs>
          <w:tab w:val="left" w:pos="426"/>
        </w:tabs>
        <w:overflowPunct/>
        <w:autoSpaceDE/>
        <w:autoSpaceDN/>
        <w:adjustRightInd/>
        <w:spacing w:after="0" w:line="240" w:lineRule="auto"/>
        <w:ind w:left="284" w:hanging="284"/>
        <w:jc w:val="both"/>
        <w:textAlignment w:val="auto"/>
        <w:rPr>
          <w:b/>
          <w:sz w:val="26"/>
          <w:szCs w:val="26"/>
        </w:rPr>
      </w:pPr>
    </w:p>
    <w:p w14:paraId="78964A63" w14:textId="77777777" w:rsidR="00417D4C" w:rsidRDefault="00417D4C" w:rsidP="00E95EAA">
      <w:pPr>
        <w:pStyle w:val="Odstavecseseznamem"/>
        <w:tabs>
          <w:tab w:val="left" w:pos="426"/>
        </w:tabs>
        <w:overflowPunct/>
        <w:autoSpaceDE/>
        <w:autoSpaceDN/>
        <w:adjustRightInd/>
        <w:spacing w:after="0" w:line="240" w:lineRule="auto"/>
        <w:ind w:left="284" w:hanging="284"/>
        <w:jc w:val="both"/>
        <w:textAlignment w:val="auto"/>
        <w:rPr>
          <w:b/>
          <w:sz w:val="26"/>
          <w:szCs w:val="26"/>
        </w:rPr>
      </w:pPr>
    </w:p>
    <w:p w14:paraId="38B0B83E" w14:textId="77777777" w:rsidR="00417D4C" w:rsidRDefault="00417D4C" w:rsidP="00E95EAA">
      <w:pPr>
        <w:pStyle w:val="Odstavecseseznamem"/>
        <w:tabs>
          <w:tab w:val="left" w:pos="426"/>
        </w:tabs>
        <w:overflowPunct/>
        <w:autoSpaceDE/>
        <w:autoSpaceDN/>
        <w:adjustRightInd/>
        <w:spacing w:after="0" w:line="240" w:lineRule="auto"/>
        <w:ind w:left="284" w:hanging="284"/>
        <w:jc w:val="both"/>
        <w:textAlignment w:val="auto"/>
        <w:rPr>
          <w:b/>
          <w:sz w:val="26"/>
          <w:szCs w:val="26"/>
        </w:rPr>
      </w:pPr>
    </w:p>
    <w:p w14:paraId="6E98FB29" w14:textId="78E97ECD" w:rsidR="00417D4C" w:rsidRDefault="00417D4C" w:rsidP="00E95EAA">
      <w:pPr>
        <w:pStyle w:val="Odstavecseseznamem"/>
        <w:tabs>
          <w:tab w:val="left" w:pos="426"/>
        </w:tabs>
        <w:overflowPunct/>
        <w:autoSpaceDE/>
        <w:autoSpaceDN/>
        <w:adjustRightInd/>
        <w:spacing w:after="0" w:line="240" w:lineRule="auto"/>
        <w:ind w:left="284" w:hanging="284"/>
        <w:jc w:val="both"/>
        <w:textAlignment w:val="auto"/>
        <w:rPr>
          <w:b/>
          <w:sz w:val="26"/>
          <w:szCs w:val="26"/>
        </w:rPr>
      </w:pPr>
    </w:p>
    <w:p w14:paraId="7DE84F86" w14:textId="77777777" w:rsidR="00417D4C" w:rsidRDefault="00417D4C" w:rsidP="00E95EAA">
      <w:pPr>
        <w:pStyle w:val="Odstavecseseznamem"/>
        <w:tabs>
          <w:tab w:val="left" w:pos="426"/>
        </w:tabs>
        <w:overflowPunct/>
        <w:autoSpaceDE/>
        <w:autoSpaceDN/>
        <w:adjustRightInd/>
        <w:spacing w:after="0" w:line="240" w:lineRule="auto"/>
        <w:ind w:left="284" w:hanging="284"/>
        <w:jc w:val="both"/>
        <w:textAlignment w:val="auto"/>
        <w:rPr>
          <w:b/>
          <w:sz w:val="26"/>
          <w:szCs w:val="26"/>
        </w:rPr>
      </w:pPr>
    </w:p>
    <w:p w14:paraId="543FBCCB" w14:textId="77777777" w:rsidR="00417D4C" w:rsidRDefault="00417D4C" w:rsidP="00E95EAA">
      <w:pPr>
        <w:pStyle w:val="Odstavecseseznamem"/>
        <w:tabs>
          <w:tab w:val="left" w:pos="426"/>
        </w:tabs>
        <w:overflowPunct/>
        <w:autoSpaceDE/>
        <w:autoSpaceDN/>
        <w:adjustRightInd/>
        <w:spacing w:after="0" w:line="240" w:lineRule="auto"/>
        <w:ind w:left="284" w:hanging="284"/>
        <w:jc w:val="both"/>
        <w:textAlignment w:val="auto"/>
        <w:rPr>
          <w:b/>
          <w:sz w:val="26"/>
          <w:szCs w:val="26"/>
        </w:rPr>
      </w:pPr>
    </w:p>
    <w:p w14:paraId="2C3A8DFD" w14:textId="11CA0138" w:rsidR="00417D4C" w:rsidRDefault="00417D4C" w:rsidP="00E95EAA">
      <w:pPr>
        <w:pStyle w:val="Odstavecseseznamem"/>
        <w:tabs>
          <w:tab w:val="left" w:pos="426"/>
        </w:tabs>
        <w:overflowPunct/>
        <w:autoSpaceDE/>
        <w:autoSpaceDN/>
        <w:adjustRightInd/>
        <w:spacing w:after="0" w:line="240" w:lineRule="auto"/>
        <w:ind w:left="284" w:hanging="284"/>
        <w:jc w:val="both"/>
        <w:textAlignment w:val="auto"/>
        <w:rPr>
          <w:b/>
          <w:sz w:val="26"/>
          <w:szCs w:val="26"/>
        </w:rPr>
      </w:pPr>
    </w:p>
    <w:p w14:paraId="5D65FF5F" w14:textId="5520CBB1" w:rsidR="00417D4C" w:rsidRDefault="00417D4C" w:rsidP="00E95EAA">
      <w:pPr>
        <w:pStyle w:val="Odstavecseseznamem"/>
        <w:tabs>
          <w:tab w:val="left" w:pos="426"/>
        </w:tabs>
        <w:overflowPunct/>
        <w:autoSpaceDE/>
        <w:autoSpaceDN/>
        <w:adjustRightInd/>
        <w:spacing w:after="0" w:line="240" w:lineRule="auto"/>
        <w:ind w:left="284" w:hanging="284"/>
        <w:jc w:val="both"/>
        <w:textAlignment w:val="auto"/>
        <w:rPr>
          <w:b/>
          <w:sz w:val="26"/>
          <w:szCs w:val="26"/>
        </w:rPr>
      </w:pPr>
    </w:p>
    <w:p w14:paraId="2D02BEE6" w14:textId="77777777" w:rsidR="00417D4C" w:rsidRDefault="00417D4C" w:rsidP="00E95EAA">
      <w:pPr>
        <w:pStyle w:val="Odstavecseseznamem"/>
        <w:tabs>
          <w:tab w:val="left" w:pos="426"/>
        </w:tabs>
        <w:overflowPunct/>
        <w:autoSpaceDE/>
        <w:autoSpaceDN/>
        <w:adjustRightInd/>
        <w:spacing w:after="0" w:line="240" w:lineRule="auto"/>
        <w:ind w:left="284" w:hanging="284"/>
        <w:jc w:val="both"/>
        <w:textAlignment w:val="auto"/>
        <w:rPr>
          <w:b/>
          <w:sz w:val="26"/>
          <w:szCs w:val="26"/>
        </w:rPr>
      </w:pPr>
    </w:p>
    <w:p w14:paraId="5D6239CC" w14:textId="77777777" w:rsidR="00417D4C" w:rsidRDefault="00417D4C" w:rsidP="00E95EAA">
      <w:pPr>
        <w:pStyle w:val="Odstavecseseznamem"/>
        <w:tabs>
          <w:tab w:val="left" w:pos="426"/>
        </w:tabs>
        <w:overflowPunct/>
        <w:autoSpaceDE/>
        <w:autoSpaceDN/>
        <w:adjustRightInd/>
        <w:spacing w:after="0" w:line="240" w:lineRule="auto"/>
        <w:ind w:left="284" w:hanging="284"/>
        <w:jc w:val="both"/>
        <w:textAlignment w:val="auto"/>
        <w:rPr>
          <w:b/>
          <w:sz w:val="26"/>
          <w:szCs w:val="26"/>
        </w:rPr>
      </w:pPr>
    </w:p>
    <w:p w14:paraId="1C502273" w14:textId="09FAA3BD" w:rsidR="00417D4C" w:rsidRDefault="00417D4C" w:rsidP="00E95EAA">
      <w:pPr>
        <w:pStyle w:val="Odstavecseseznamem"/>
        <w:tabs>
          <w:tab w:val="left" w:pos="426"/>
        </w:tabs>
        <w:overflowPunct/>
        <w:autoSpaceDE/>
        <w:autoSpaceDN/>
        <w:adjustRightInd/>
        <w:spacing w:after="0" w:line="240" w:lineRule="auto"/>
        <w:ind w:left="284" w:hanging="284"/>
        <w:jc w:val="both"/>
        <w:textAlignment w:val="auto"/>
        <w:rPr>
          <w:b/>
          <w:sz w:val="26"/>
          <w:szCs w:val="26"/>
        </w:rPr>
      </w:pPr>
    </w:p>
    <w:p w14:paraId="4946595D" w14:textId="77777777" w:rsidR="00417D4C" w:rsidRDefault="00417D4C" w:rsidP="00E95EAA">
      <w:pPr>
        <w:pStyle w:val="Odstavecseseznamem"/>
        <w:tabs>
          <w:tab w:val="left" w:pos="426"/>
        </w:tabs>
        <w:overflowPunct/>
        <w:autoSpaceDE/>
        <w:autoSpaceDN/>
        <w:adjustRightInd/>
        <w:spacing w:after="0" w:line="240" w:lineRule="auto"/>
        <w:ind w:left="284" w:hanging="284"/>
        <w:jc w:val="both"/>
        <w:textAlignment w:val="auto"/>
        <w:rPr>
          <w:b/>
          <w:sz w:val="26"/>
          <w:szCs w:val="26"/>
        </w:rPr>
      </w:pPr>
    </w:p>
    <w:p w14:paraId="2ADF187B" w14:textId="77777777" w:rsidR="00417D4C" w:rsidRDefault="00417D4C" w:rsidP="00E95EAA">
      <w:pPr>
        <w:pStyle w:val="Odstavecseseznamem"/>
        <w:tabs>
          <w:tab w:val="left" w:pos="426"/>
        </w:tabs>
        <w:overflowPunct/>
        <w:autoSpaceDE/>
        <w:autoSpaceDN/>
        <w:adjustRightInd/>
        <w:spacing w:after="0" w:line="240" w:lineRule="auto"/>
        <w:ind w:left="284" w:hanging="284"/>
        <w:jc w:val="both"/>
        <w:textAlignment w:val="auto"/>
        <w:rPr>
          <w:b/>
          <w:sz w:val="26"/>
          <w:szCs w:val="26"/>
        </w:rPr>
      </w:pPr>
    </w:p>
    <w:p w14:paraId="4BBAFC67" w14:textId="77777777" w:rsidR="00417D4C" w:rsidRDefault="00417D4C" w:rsidP="00E95EAA">
      <w:pPr>
        <w:pStyle w:val="Odstavecseseznamem"/>
        <w:tabs>
          <w:tab w:val="left" w:pos="426"/>
        </w:tabs>
        <w:overflowPunct/>
        <w:autoSpaceDE/>
        <w:autoSpaceDN/>
        <w:adjustRightInd/>
        <w:spacing w:after="0" w:line="240" w:lineRule="auto"/>
        <w:ind w:left="284" w:hanging="284"/>
        <w:jc w:val="both"/>
        <w:textAlignment w:val="auto"/>
        <w:rPr>
          <w:b/>
          <w:sz w:val="26"/>
          <w:szCs w:val="26"/>
        </w:rPr>
      </w:pPr>
    </w:p>
    <w:p w14:paraId="5F71CD76" w14:textId="77777777" w:rsidR="00417D4C" w:rsidRDefault="00417D4C" w:rsidP="00E95EAA">
      <w:pPr>
        <w:pStyle w:val="Odstavecseseznamem"/>
        <w:tabs>
          <w:tab w:val="left" w:pos="426"/>
        </w:tabs>
        <w:overflowPunct/>
        <w:autoSpaceDE/>
        <w:autoSpaceDN/>
        <w:adjustRightInd/>
        <w:spacing w:after="0" w:line="240" w:lineRule="auto"/>
        <w:ind w:left="284" w:hanging="284"/>
        <w:jc w:val="both"/>
        <w:textAlignment w:val="auto"/>
        <w:rPr>
          <w:b/>
          <w:sz w:val="26"/>
          <w:szCs w:val="26"/>
        </w:rPr>
      </w:pPr>
    </w:p>
    <w:p w14:paraId="2BE4241A" w14:textId="77777777" w:rsidR="00417D4C" w:rsidRDefault="00417D4C" w:rsidP="00E95EAA">
      <w:pPr>
        <w:pStyle w:val="Odstavecseseznamem"/>
        <w:tabs>
          <w:tab w:val="left" w:pos="426"/>
        </w:tabs>
        <w:overflowPunct/>
        <w:autoSpaceDE/>
        <w:autoSpaceDN/>
        <w:adjustRightInd/>
        <w:spacing w:after="0" w:line="240" w:lineRule="auto"/>
        <w:ind w:left="284" w:hanging="284"/>
        <w:jc w:val="both"/>
        <w:textAlignment w:val="auto"/>
        <w:rPr>
          <w:b/>
          <w:sz w:val="26"/>
          <w:szCs w:val="26"/>
        </w:rPr>
      </w:pPr>
    </w:p>
    <w:p w14:paraId="286760CE" w14:textId="77777777" w:rsidR="00417D4C" w:rsidRDefault="00417D4C" w:rsidP="00E95EAA">
      <w:pPr>
        <w:pStyle w:val="Odstavecseseznamem"/>
        <w:tabs>
          <w:tab w:val="left" w:pos="426"/>
        </w:tabs>
        <w:overflowPunct/>
        <w:autoSpaceDE/>
        <w:autoSpaceDN/>
        <w:adjustRightInd/>
        <w:spacing w:after="0" w:line="240" w:lineRule="auto"/>
        <w:ind w:left="284" w:hanging="284"/>
        <w:jc w:val="both"/>
        <w:textAlignment w:val="auto"/>
        <w:rPr>
          <w:b/>
          <w:sz w:val="26"/>
          <w:szCs w:val="26"/>
        </w:rPr>
      </w:pPr>
    </w:p>
    <w:p w14:paraId="1DABACD7" w14:textId="5C860FDE" w:rsidR="006D4462" w:rsidRPr="00FD48F4" w:rsidRDefault="00932365" w:rsidP="000B4301">
      <w:pPr>
        <w:pStyle w:val="Nadpis1"/>
        <w:numPr>
          <w:ilvl w:val="0"/>
          <w:numId w:val="24"/>
        </w:numPr>
        <w:ind w:left="426" w:hanging="426"/>
        <w:jc w:val="both"/>
        <w:rPr>
          <w:rFonts w:asciiTheme="majorHAnsi" w:hAnsiTheme="majorHAnsi"/>
          <w:b w:val="0"/>
          <w:sz w:val="32"/>
          <w:szCs w:val="32"/>
        </w:rPr>
      </w:pPr>
      <w:bookmarkStart w:id="8" w:name="_Toc476517922"/>
      <w:r w:rsidRPr="00FD48F4">
        <w:rPr>
          <w:rFonts w:asciiTheme="majorHAnsi" w:hAnsiTheme="majorHAnsi"/>
          <w:sz w:val="32"/>
          <w:szCs w:val="32"/>
        </w:rPr>
        <w:t>D</w:t>
      </w:r>
      <w:r w:rsidR="006D4462" w:rsidRPr="00FD48F4">
        <w:rPr>
          <w:rFonts w:asciiTheme="majorHAnsi" w:hAnsiTheme="majorHAnsi"/>
          <w:sz w:val="32"/>
          <w:szCs w:val="32"/>
        </w:rPr>
        <w:t>opady</w:t>
      </w:r>
      <w:r w:rsidR="009D54B2" w:rsidRPr="00FD48F4">
        <w:rPr>
          <w:rFonts w:asciiTheme="majorHAnsi" w:hAnsiTheme="majorHAnsi"/>
          <w:sz w:val="32"/>
          <w:szCs w:val="32"/>
        </w:rPr>
        <w:t xml:space="preserve"> </w:t>
      </w:r>
      <w:r w:rsidR="00156156">
        <w:rPr>
          <w:rFonts w:asciiTheme="majorHAnsi" w:hAnsiTheme="majorHAnsi"/>
          <w:sz w:val="32"/>
          <w:szCs w:val="32"/>
        </w:rPr>
        <w:t xml:space="preserve">vyplývající z navrženého postupu </w:t>
      </w:r>
      <w:r w:rsidR="009D54B2" w:rsidRPr="00FD48F4">
        <w:rPr>
          <w:rFonts w:asciiTheme="majorHAnsi" w:hAnsiTheme="majorHAnsi"/>
          <w:sz w:val="32"/>
          <w:szCs w:val="32"/>
        </w:rPr>
        <w:t xml:space="preserve">aplikace závazku </w:t>
      </w:r>
      <w:r w:rsidR="00156156">
        <w:rPr>
          <w:rFonts w:asciiTheme="majorHAnsi" w:hAnsiTheme="majorHAnsi"/>
          <w:sz w:val="32"/>
          <w:szCs w:val="32"/>
        </w:rPr>
        <w:t xml:space="preserve">pro ČR k mechanismu </w:t>
      </w:r>
      <w:r w:rsidR="00777AA3">
        <w:rPr>
          <w:rFonts w:asciiTheme="majorHAnsi" w:hAnsiTheme="majorHAnsi"/>
          <w:sz w:val="32"/>
          <w:szCs w:val="32"/>
        </w:rPr>
        <w:t xml:space="preserve">kontroly přiměřenosti </w:t>
      </w:r>
      <w:r w:rsidR="009D54B2" w:rsidRPr="00FD48F4">
        <w:rPr>
          <w:rFonts w:asciiTheme="majorHAnsi" w:hAnsiTheme="majorHAnsi"/>
          <w:sz w:val="32"/>
          <w:szCs w:val="32"/>
        </w:rPr>
        <w:t>podpory</w:t>
      </w:r>
      <w:r w:rsidR="009E0D89" w:rsidRPr="00FD48F4">
        <w:rPr>
          <w:rFonts w:asciiTheme="majorHAnsi" w:hAnsiTheme="majorHAnsi"/>
          <w:sz w:val="32"/>
          <w:szCs w:val="32"/>
        </w:rPr>
        <w:t xml:space="preserve"> </w:t>
      </w:r>
      <w:bookmarkEnd w:id="8"/>
    </w:p>
    <w:p w14:paraId="5E126BA0" w14:textId="77777777" w:rsidR="00BB6C54" w:rsidRDefault="00BB6C54" w:rsidP="00E95EAA">
      <w:pPr>
        <w:pStyle w:val="Odstavecseseznamem"/>
        <w:tabs>
          <w:tab w:val="left" w:pos="426"/>
        </w:tabs>
        <w:overflowPunct/>
        <w:autoSpaceDE/>
        <w:autoSpaceDN/>
        <w:adjustRightInd/>
        <w:spacing w:after="0" w:line="240" w:lineRule="auto"/>
        <w:ind w:left="284" w:hanging="284"/>
        <w:jc w:val="both"/>
        <w:textAlignment w:val="auto"/>
        <w:rPr>
          <w:b/>
          <w:sz w:val="24"/>
          <w:szCs w:val="24"/>
          <w:u w:val="single"/>
        </w:rPr>
      </w:pPr>
    </w:p>
    <w:p w14:paraId="03B7C9D2" w14:textId="29DF88AE" w:rsidR="00F43B39" w:rsidRDefault="009E0D89" w:rsidP="00305999">
      <w:pPr>
        <w:tabs>
          <w:tab w:val="left" w:pos="6640"/>
        </w:tabs>
        <w:spacing w:after="0" w:line="240" w:lineRule="auto"/>
        <w:jc w:val="both"/>
        <w:rPr>
          <w:sz w:val="24"/>
          <w:szCs w:val="24"/>
        </w:rPr>
      </w:pPr>
      <w:r>
        <w:rPr>
          <w:sz w:val="24"/>
          <w:szCs w:val="24"/>
        </w:rPr>
        <w:t>Níže</w:t>
      </w:r>
      <w:r w:rsidRPr="00537F12">
        <w:rPr>
          <w:sz w:val="24"/>
          <w:szCs w:val="24"/>
        </w:rPr>
        <w:t xml:space="preserve"> </w:t>
      </w:r>
      <w:r w:rsidR="00537F12" w:rsidRPr="00537F12">
        <w:rPr>
          <w:sz w:val="24"/>
          <w:szCs w:val="24"/>
        </w:rPr>
        <w:t xml:space="preserve">uvedené informace </w:t>
      </w:r>
      <w:r w:rsidR="000675E2">
        <w:rPr>
          <w:sz w:val="24"/>
          <w:szCs w:val="24"/>
        </w:rPr>
        <w:t xml:space="preserve">a data </w:t>
      </w:r>
      <w:r w:rsidR="00537F12" w:rsidRPr="00537F12">
        <w:rPr>
          <w:sz w:val="24"/>
          <w:szCs w:val="24"/>
        </w:rPr>
        <w:t>vyplývají z informací zadávaných subjekty</w:t>
      </w:r>
      <w:r w:rsidR="003E0B13">
        <w:rPr>
          <w:sz w:val="24"/>
          <w:szCs w:val="24"/>
        </w:rPr>
        <w:t>, které nárokují</w:t>
      </w:r>
      <w:r w:rsidR="00537F12" w:rsidRPr="00537F12">
        <w:rPr>
          <w:sz w:val="24"/>
          <w:szCs w:val="24"/>
        </w:rPr>
        <w:t xml:space="preserve"> podporu do systému OTE podle povinností vyplývajících z příslušných prováděcích předpisů k zákonu č. 165/2012 Sb., o podporovaných zdrojích energie (vyhláška č. 9/2016 Sb. o postupech registrace podpor u operátora trhu a provedení některých dalších ustanovení zákona o podporovaných zdrojích energie (registrační vyhláška).</w:t>
      </w:r>
    </w:p>
    <w:p w14:paraId="3CC637F5" w14:textId="77777777" w:rsidR="00F644DC" w:rsidRDefault="00F644DC" w:rsidP="00305999">
      <w:pPr>
        <w:tabs>
          <w:tab w:val="left" w:pos="6640"/>
        </w:tabs>
        <w:spacing w:after="0" w:line="240" w:lineRule="auto"/>
        <w:jc w:val="both"/>
        <w:rPr>
          <w:sz w:val="24"/>
          <w:szCs w:val="24"/>
        </w:rPr>
      </w:pPr>
    </w:p>
    <w:p w14:paraId="3DEDDB13" w14:textId="1BC40E01" w:rsidR="00D06AC6" w:rsidRDefault="002868B8" w:rsidP="00C07DEA">
      <w:pPr>
        <w:pStyle w:val="Textkomente"/>
        <w:jc w:val="both"/>
        <w:rPr>
          <w:sz w:val="24"/>
          <w:szCs w:val="24"/>
        </w:rPr>
      </w:pPr>
      <w:r>
        <w:rPr>
          <w:sz w:val="24"/>
          <w:szCs w:val="24"/>
        </w:rPr>
        <w:t xml:space="preserve">V této kapitole jsou uvedeny dopady resp. odhad předpokládaného rozsah počtu </w:t>
      </w:r>
      <w:r w:rsidR="003E0B13">
        <w:rPr>
          <w:sz w:val="24"/>
          <w:szCs w:val="24"/>
        </w:rPr>
        <w:t>subjektů</w:t>
      </w:r>
      <w:r>
        <w:rPr>
          <w:sz w:val="24"/>
          <w:szCs w:val="24"/>
        </w:rPr>
        <w:t>, které budou spadat nebo nebudou spadat do mechanismu kontroly překompenzace podpory. Tyto odhady jsou vytvořeny v několika úrovních a stupních</w:t>
      </w:r>
      <w:r w:rsidR="00694FB4">
        <w:rPr>
          <w:sz w:val="24"/>
          <w:szCs w:val="24"/>
        </w:rPr>
        <w:t xml:space="preserve"> </w:t>
      </w:r>
      <w:r w:rsidR="00D06AC6">
        <w:rPr>
          <w:sz w:val="24"/>
          <w:szCs w:val="24"/>
        </w:rPr>
        <w:t xml:space="preserve">(části a) až d)) </w:t>
      </w:r>
      <w:r w:rsidR="00694FB4">
        <w:rPr>
          <w:sz w:val="24"/>
          <w:szCs w:val="24"/>
        </w:rPr>
        <w:t>s využ</w:t>
      </w:r>
      <w:r w:rsidR="003E0B13">
        <w:rPr>
          <w:sz w:val="24"/>
          <w:szCs w:val="24"/>
        </w:rPr>
        <w:t>i</w:t>
      </w:r>
      <w:r w:rsidR="00694FB4">
        <w:rPr>
          <w:sz w:val="24"/>
          <w:szCs w:val="24"/>
        </w:rPr>
        <w:t>tím údajů pouze ze systému OTE</w:t>
      </w:r>
      <w:r w:rsidR="00D06AC6">
        <w:rPr>
          <w:sz w:val="24"/>
          <w:szCs w:val="24"/>
        </w:rPr>
        <w:t>:</w:t>
      </w:r>
    </w:p>
    <w:p w14:paraId="5F971C75" w14:textId="77777777" w:rsidR="00D06AC6" w:rsidRPr="00C07DEA" w:rsidRDefault="00D06AC6" w:rsidP="00D06AC6">
      <w:pPr>
        <w:pStyle w:val="Odstavecseseznamem"/>
        <w:numPr>
          <w:ilvl w:val="0"/>
          <w:numId w:val="23"/>
        </w:numPr>
        <w:tabs>
          <w:tab w:val="left" w:pos="6640"/>
          <w:tab w:val="left" w:pos="7655"/>
        </w:tabs>
        <w:spacing w:after="0" w:line="240" w:lineRule="auto"/>
        <w:jc w:val="both"/>
        <w:rPr>
          <w:i/>
          <w:sz w:val="24"/>
          <w:szCs w:val="24"/>
        </w:rPr>
      </w:pPr>
      <w:r w:rsidRPr="00C07DEA">
        <w:rPr>
          <w:i/>
          <w:sz w:val="24"/>
          <w:szCs w:val="24"/>
        </w:rPr>
        <w:t>Vymezení počtu zdrojů a čerpané podpora elektřiny z OZE spadající pod rozhodnutí  Evropské komise SA.40171 a SA.35177</w:t>
      </w:r>
    </w:p>
    <w:p w14:paraId="432BA858" w14:textId="5077DA10" w:rsidR="00D06AC6" w:rsidRPr="00C07DEA" w:rsidRDefault="00D06AC6" w:rsidP="00D06AC6">
      <w:pPr>
        <w:pStyle w:val="Odstavecseseznamem"/>
        <w:numPr>
          <w:ilvl w:val="0"/>
          <w:numId w:val="23"/>
        </w:numPr>
        <w:tabs>
          <w:tab w:val="left" w:pos="6640"/>
          <w:tab w:val="left" w:pos="7655"/>
        </w:tabs>
        <w:spacing w:after="0" w:line="240" w:lineRule="auto"/>
        <w:jc w:val="both"/>
        <w:rPr>
          <w:i/>
          <w:sz w:val="24"/>
          <w:szCs w:val="24"/>
        </w:rPr>
      </w:pPr>
      <w:r w:rsidRPr="00C07DEA">
        <w:rPr>
          <w:i/>
          <w:sz w:val="24"/>
          <w:szCs w:val="24"/>
        </w:rPr>
        <w:t>Počet zdrojů a čerpaná podpora elektřiny z OZE nad hranicí de minimis při posuzování podpory za jednotlivé zdroje</w:t>
      </w:r>
    </w:p>
    <w:p w14:paraId="4FAF66F1" w14:textId="77777777" w:rsidR="00D06AC6" w:rsidRPr="00C07DEA" w:rsidRDefault="00D06AC6" w:rsidP="00D06AC6">
      <w:pPr>
        <w:pStyle w:val="Odstavecseseznamem"/>
        <w:numPr>
          <w:ilvl w:val="0"/>
          <w:numId w:val="23"/>
        </w:numPr>
        <w:tabs>
          <w:tab w:val="left" w:pos="6640"/>
        </w:tabs>
        <w:spacing w:after="0" w:line="240" w:lineRule="auto"/>
        <w:jc w:val="both"/>
        <w:rPr>
          <w:i/>
          <w:sz w:val="24"/>
          <w:szCs w:val="24"/>
        </w:rPr>
      </w:pPr>
      <w:r w:rsidRPr="00C07DEA">
        <w:rPr>
          <w:i/>
          <w:sz w:val="24"/>
          <w:szCs w:val="24"/>
        </w:rPr>
        <w:t>Počet zdrojů a čerpaná podpora elektřiny z OZE nad hranicí de minimis při posuzování při podpory za jeden podnik</w:t>
      </w:r>
    </w:p>
    <w:p w14:paraId="183479AE" w14:textId="4B5A0B6A" w:rsidR="00D06AC6" w:rsidRPr="00C07DEA" w:rsidRDefault="00D06AC6" w:rsidP="00D06AC6">
      <w:pPr>
        <w:pStyle w:val="Odstavecseseznamem"/>
        <w:numPr>
          <w:ilvl w:val="0"/>
          <w:numId w:val="23"/>
        </w:numPr>
        <w:tabs>
          <w:tab w:val="left" w:pos="6640"/>
          <w:tab w:val="left" w:pos="7655"/>
        </w:tabs>
        <w:spacing w:after="0" w:line="240" w:lineRule="auto"/>
        <w:jc w:val="both"/>
        <w:rPr>
          <w:i/>
          <w:sz w:val="24"/>
          <w:szCs w:val="24"/>
        </w:rPr>
      </w:pPr>
      <w:r w:rsidRPr="00C07DEA">
        <w:rPr>
          <w:i/>
          <w:sz w:val="24"/>
          <w:szCs w:val="24"/>
        </w:rPr>
        <w:t xml:space="preserve">Počet </w:t>
      </w:r>
      <w:r w:rsidR="003E0B13" w:rsidRPr="00C07DEA">
        <w:rPr>
          <w:i/>
          <w:sz w:val="24"/>
          <w:szCs w:val="24"/>
        </w:rPr>
        <w:t>zdroj</w:t>
      </w:r>
      <w:r w:rsidR="003E0B13">
        <w:rPr>
          <w:i/>
          <w:sz w:val="24"/>
          <w:szCs w:val="24"/>
        </w:rPr>
        <w:t>ů</w:t>
      </w:r>
      <w:r w:rsidR="003E0B13" w:rsidRPr="00C07DEA">
        <w:rPr>
          <w:i/>
          <w:sz w:val="24"/>
          <w:szCs w:val="24"/>
        </w:rPr>
        <w:t xml:space="preserve"> </w:t>
      </w:r>
      <w:r w:rsidRPr="00C07DEA">
        <w:rPr>
          <w:i/>
          <w:sz w:val="24"/>
          <w:szCs w:val="24"/>
        </w:rPr>
        <w:t>nad hranicí de minimis, které v případě kumulace několika druhů podpor kmulovali s podporou elektřiny z OZE pouze podporu decentrální výroby elektřiny</w:t>
      </w:r>
    </w:p>
    <w:p w14:paraId="6537367E" w14:textId="77777777" w:rsidR="00D06AC6" w:rsidRDefault="00D06AC6" w:rsidP="00C07DEA">
      <w:pPr>
        <w:pStyle w:val="Textkomente"/>
        <w:jc w:val="both"/>
        <w:rPr>
          <w:sz w:val="24"/>
          <w:szCs w:val="24"/>
        </w:rPr>
      </w:pPr>
    </w:p>
    <w:p w14:paraId="62934B4F" w14:textId="6F9D737D" w:rsidR="002868B8" w:rsidRPr="00C14EDF" w:rsidRDefault="00C14EDF" w:rsidP="00C07DEA">
      <w:pPr>
        <w:pStyle w:val="Textkomente"/>
        <w:jc w:val="both"/>
        <w:rPr>
          <w:sz w:val="24"/>
          <w:szCs w:val="24"/>
        </w:rPr>
      </w:pPr>
      <w:r w:rsidRPr="00C14EDF">
        <w:rPr>
          <w:sz w:val="24"/>
          <w:szCs w:val="24"/>
        </w:rPr>
        <w:t>Z</w:t>
      </w:r>
      <w:r w:rsidR="00694FB4" w:rsidRPr="00C14EDF">
        <w:rPr>
          <w:sz w:val="24"/>
          <w:szCs w:val="24"/>
        </w:rPr>
        <w:t xml:space="preserve">ásadní </w:t>
      </w:r>
      <w:r w:rsidR="002868B8" w:rsidRPr="00C14EDF">
        <w:rPr>
          <w:sz w:val="24"/>
          <w:szCs w:val="24"/>
        </w:rPr>
        <w:t>jsou odhady vztahující se k posouzení dopadů v rámci vymezené definice „jednoho podniku“</w:t>
      </w:r>
      <w:r w:rsidR="00694FB4" w:rsidRPr="00C14EDF">
        <w:rPr>
          <w:sz w:val="24"/>
          <w:szCs w:val="24"/>
        </w:rPr>
        <w:t xml:space="preserve">, který </w:t>
      </w:r>
      <w:r w:rsidRPr="00125810">
        <w:rPr>
          <w:sz w:val="24"/>
          <w:szCs w:val="24"/>
        </w:rPr>
        <w:t xml:space="preserve">se používá při určení </w:t>
      </w:r>
      <w:r w:rsidR="00694FB4" w:rsidRPr="00125810">
        <w:rPr>
          <w:sz w:val="24"/>
          <w:szCs w:val="24"/>
        </w:rPr>
        <w:t xml:space="preserve">podpory </w:t>
      </w:r>
      <w:r w:rsidR="00D06AC6" w:rsidRPr="00125810">
        <w:rPr>
          <w:sz w:val="24"/>
          <w:szCs w:val="24"/>
        </w:rPr>
        <w:t>de minimis, tedy oblast uvedená v části c), případně v části d)</w:t>
      </w:r>
      <w:r w:rsidRPr="00125810">
        <w:rPr>
          <w:sz w:val="24"/>
          <w:szCs w:val="24"/>
        </w:rPr>
        <w:t>, pokud bude aplikován zjednodušený přístup u kumulace jiných podpor k provozní podpoře elektřiny z </w:t>
      </w:r>
      <w:r w:rsidRPr="00352411">
        <w:rPr>
          <w:sz w:val="24"/>
          <w:szCs w:val="24"/>
        </w:rPr>
        <w:t xml:space="preserve">OZE a </w:t>
      </w:r>
      <w:r w:rsidRPr="00C07DEA">
        <w:rPr>
          <w:sz w:val="24"/>
          <w:szCs w:val="24"/>
        </w:rPr>
        <w:t>„generování“ hodnoty IRR těmito jinými podporami do výše 0,1 %.</w:t>
      </w:r>
      <w:r w:rsidR="00D06AC6" w:rsidRPr="00C14EDF">
        <w:rPr>
          <w:sz w:val="24"/>
          <w:szCs w:val="24"/>
        </w:rPr>
        <w:t xml:space="preserve"> Výstupy z této kapitoly jsou uvedeny ve shrnutí v kapitole 9.</w:t>
      </w:r>
    </w:p>
    <w:p w14:paraId="2273D96A" w14:textId="698D253D" w:rsidR="00694FB4" w:rsidRDefault="00694FB4" w:rsidP="00C07DEA">
      <w:pPr>
        <w:pStyle w:val="Textkomente"/>
        <w:jc w:val="both"/>
        <w:rPr>
          <w:sz w:val="24"/>
          <w:szCs w:val="24"/>
        </w:rPr>
      </w:pPr>
      <w:r>
        <w:rPr>
          <w:sz w:val="24"/>
          <w:szCs w:val="24"/>
        </w:rPr>
        <w:t>N</w:t>
      </w:r>
      <w:r w:rsidRPr="00C07DEA">
        <w:rPr>
          <w:sz w:val="24"/>
          <w:szCs w:val="24"/>
        </w:rPr>
        <w:t xml:space="preserve">ad hranici de minimis se mohou dostat i zdroje, které aktuálně spadají pod hranici de minimis, ale čerpáním podpory v dalších letech mohou hranici podpory de minimis překročit – k této situaci může dojít nejen </w:t>
      </w:r>
      <w:r>
        <w:rPr>
          <w:sz w:val="24"/>
          <w:szCs w:val="24"/>
        </w:rPr>
        <w:t>„</w:t>
      </w:r>
      <w:r w:rsidRPr="00C07DEA">
        <w:rPr>
          <w:sz w:val="24"/>
          <w:szCs w:val="24"/>
        </w:rPr>
        <w:t>prostým</w:t>
      </w:r>
      <w:r>
        <w:rPr>
          <w:sz w:val="24"/>
          <w:szCs w:val="24"/>
        </w:rPr>
        <w:t>“</w:t>
      </w:r>
      <w:r w:rsidRPr="00C07DEA">
        <w:rPr>
          <w:sz w:val="24"/>
          <w:szCs w:val="24"/>
        </w:rPr>
        <w:t xml:space="preserve"> čerpáním každoročně eskalované podpory</w:t>
      </w:r>
      <w:r>
        <w:rPr>
          <w:sz w:val="24"/>
          <w:szCs w:val="24"/>
        </w:rPr>
        <w:t xml:space="preserve"> o 2 % podle </w:t>
      </w:r>
      <w:r w:rsidR="00D06AC6">
        <w:rPr>
          <w:sz w:val="24"/>
          <w:szCs w:val="24"/>
        </w:rPr>
        <w:t>zákonných požadavků</w:t>
      </w:r>
      <w:r w:rsidRPr="00C07DEA">
        <w:rPr>
          <w:sz w:val="24"/>
          <w:szCs w:val="24"/>
        </w:rPr>
        <w:t>, ale také v důsledku změny vlastnických vztahů ke zdrojům v návaznosti na pojem „jeden podnik“.</w:t>
      </w:r>
    </w:p>
    <w:p w14:paraId="4326E0C7" w14:textId="64ED932E" w:rsidR="002868B8" w:rsidRPr="00C07DEA" w:rsidRDefault="00694FB4" w:rsidP="00C07DEA">
      <w:pPr>
        <w:pStyle w:val="Textkomente"/>
        <w:jc w:val="both"/>
        <w:rPr>
          <w:sz w:val="24"/>
          <w:szCs w:val="24"/>
        </w:rPr>
      </w:pPr>
      <w:r w:rsidRPr="00C14EDF">
        <w:rPr>
          <w:sz w:val="24"/>
          <w:szCs w:val="24"/>
        </w:rPr>
        <w:t xml:space="preserve">Uvedené dopady resp. odhady předpokládaného rozsahu počtu subjektů se </w:t>
      </w:r>
      <w:r w:rsidR="002868B8" w:rsidRPr="00C07DEA">
        <w:rPr>
          <w:sz w:val="24"/>
          <w:szCs w:val="24"/>
        </w:rPr>
        <w:t xml:space="preserve">mohou zvýšit, pokud příjemci (ve smyslu „jednoho podniku“) pod hranicí de minimis čerpali i jiné podpory </w:t>
      </w:r>
      <w:r w:rsidR="002868B8" w:rsidRPr="00C07DEA">
        <w:rPr>
          <w:sz w:val="24"/>
          <w:szCs w:val="24"/>
        </w:rPr>
        <w:lastRenderedPageBreak/>
        <w:t>de minimis + čerpali podporu na vícero zdrojů</w:t>
      </w:r>
      <w:r w:rsidRPr="00C14EDF">
        <w:rPr>
          <w:sz w:val="24"/>
          <w:szCs w:val="24"/>
        </w:rPr>
        <w:t>, tedy mimo systém podpory podle zákona č. 180/2005 Sb. a zákona č. 165/2012 Sb. např. podpory ze zemědělského sektoru</w:t>
      </w:r>
      <w:r w:rsidR="00C14EDF" w:rsidRPr="00C14EDF">
        <w:rPr>
          <w:sz w:val="24"/>
          <w:szCs w:val="24"/>
        </w:rPr>
        <w:t xml:space="preserve"> a kontroly </w:t>
      </w:r>
      <w:r w:rsidR="00C14EDF" w:rsidRPr="00C07DEA">
        <w:rPr>
          <w:sz w:val="24"/>
          <w:szCs w:val="24"/>
        </w:rPr>
        <w:t>z centrálního registru podpory de minimis</w:t>
      </w:r>
      <w:r w:rsidR="002868B8" w:rsidRPr="00C07DEA">
        <w:rPr>
          <w:sz w:val="24"/>
          <w:szCs w:val="24"/>
        </w:rPr>
        <w:t xml:space="preserve">. </w:t>
      </w:r>
      <w:r w:rsidRPr="00C14EDF">
        <w:rPr>
          <w:sz w:val="24"/>
          <w:szCs w:val="24"/>
        </w:rPr>
        <w:t>Uved</w:t>
      </w:r>
      <w:r>
        <w:rPr>
          <w:sz w:val="24"/>
          <w:szCs w:val="24"/>
        </w:rPr>
        <w:t xml:space="preserve">ené dopady jsou tak odhady </w:t>
      </w:r>
      <w:r w:rsidR="002868B8" w:rsidRPr="00C07DEA">
        <w:rPr>
          <w:sz w:val="24"/>
          <w:szCs w:val="24"/>
        </w:rPr>
        <w:t>bez ověření jiných podpor de minimis a bez konsolidace subjektů v rá</w:t>
      </w:r>
      <w:r w:rsidRPr="00694FB4">
        <w:rPr>
          <w:sz w:val="24"/>
          <w:szCs w:val="24"/>
        </w:rPr>
        <w:t>mci posouzení „jednoho podniku“.</w:t>
      </w:r>
    </w:p>
    <w:p w14:paraId="1643D3F3" w14:textId="77777777" w:rsidR="002868B8" w:rsidRDefault="002868B8" w:rsidP="00305999">
      <w:pPr>
        <w:tabs>
          <w:tab w:val="left" w:pos="6640"/>
        </w:tabs>
        <w:spacing w:after="0" w:line="240" w:lineRule="auto"/>
        <w:jc w:val="both"/>
        <w:rPr>
          <w:sz w:val="24"/>
          <w:szCs w:val="24"/>
        </w:rPr>
      </w:pPr>
    </w:p>
    <w:p w14:paraId="1B5D9476" w14:textId="77777777" w:rsidR="00537F12" w:rsidRDefault="00537F12" w:rsidP="00305999">
      <w:pPr>
        <w:tabs>
          <w:tab w:val="left" w:pos="6640"/>
        </w:tabs>
        <w:spacing w:after="0" w:line="240" w:lineRule="auto"/>
        <w:jc w:val="both"/>
        <w:rPr>
          <w:sz w:val="24"/>
          <w:szCs w:val="24"/>
          <w:u w:val="single"/>
        </w:rPr>
      </w:pPr>
    </w:p>
    <w:p w14:paraId="66DA8361" w14:textId="77777777" w:rsidR="00D06AC6" w:rsidRDefault="00D06AC6" w:rsidP="00305999">
      <w:pPr>
        <w:tabs>
          <w:tab w:val="left" w:pos="6640"/>
        </w:tabs>
        <w:spacing w:after="0" w:line="240" w:lineRule="auto"/>
        <w:jc w:val="both"/>
        <w:rPr>
          <w:sz w:val="24"/>
          <w:szCs w:val="24"/>
          <w:u w:val="single"/>
        </w:rPr>
      </w:pPr>
    </w:p>
    <w:p w14:paraId="67EF017E" w14:textId="77777777" w:rsidR="00D06AC6" w:rsidRDefault="00D06AC6" w:rsidP="00305999">
      <w:pPr>
        <w:tabs>
          <w:tab w:val="left" w:pos="6640"/>
        </w:tabs>
        <w:spacing w:after="0" w:line="240" w:lineRule="auto"/>
        <w:jc w:val="both"/>
        <w:rPr>
          <w:sz w:val="24"/>
          <w:szCs w:val="24"/>
          <w:u w:val="single"/>
        </w:rPr>
      </w:pPr>
    </w:p>
    <w:p w14:paraId="7DD28E52" w14:textId="77777777" w:rsidR="00D06AC6" w:rsidRDefault="00D06AC6" w:rsidP="00305999">
      <w:pPr>
        <w:tabs>
          <w:tab w:val="left" w:pos="6640"/>
        </w:tabs>
        <w:spacing w:after="0" w:line="240" w:lineRule="auto"/>
        <w:jc w:val="both"/>
        <w:rPr>
          <w:sz w:val="24"/>
          <w:szCs w:val="24"/>
          <w:u w:val="single"/>
        </w:rPr>
      </w:pPr>
    </w:p>
    <w:p w14:paraId="70154044" w14:textId="39EFC814" w:rsidR="00F644DC" w:rsidRPr="00F644DC" w:rsidRDefault="00375CB8" w:rsidP="00C07DEA">
      <w:pPr>
        <w:pStyle w:val="Odstavecseseznamem"/>
        <w:numPr>
          <w:ilvl w:val="0"/>
          <w:numId w:val="61"/>
        </w:numPr>
        <w:tabs>
          <w:tab w:val="left" w:pos="6640"/>
          <w:tab w:val="left" w:pos="7655"/>
        </w:tabs>
        <w:spacing w:after="0" w:line="240" w:lineRule="auto"/>
        <w:jc w:val="both"/>
        <w:rPr>
          <w:b/>
          <w:i/>
          <w:sz w:val="24"/>
          <w:szCs w:val="24"/>
        </w:rPr>
      </w:pPr>
      <w:r>
        <w:rPr>
          <w:b/>
          <w:i/>
          <w:sz w:val="24"/>
          <w:szCs w:val="24"/>
        </w:rPr>
        <w:t xml:space="preserve"> Vymezení p</w:t>
      </w:r>
      <w:r w:rsidR="00F644DC" w:rsidRPr="00F644DC">
        <w:rPr>
          <w:b/>
          <w:i/>
          <w:sz w:val="24"/>
          <w:szCs w:val="24"/>
        </w:rPr>
        <w:t>oč</w:t>
      </w:r>
      <w:r>
        <w:rPr>
          <w:b/>
          <w:i/>
          <w:sz w:val="24"/>
          <w:szCs w:val="24"/>
        </w:rPr>
        <w:t>tu</w:t>
      </w:r>
      <w:r w:rsidR="00F644DC" w:rsidRPr="00F644DC">
        <w:rPr>
          <w:b/>
          <w:i/>
          <w:sz w:val="24"/>
          <w:szCs w:val="24"/>
        </w:rPr>
        <w:t xml:space="preserve"> zdrojů</w:t>
      </w:r>
      <w:r>
        <w:rPr>
          <w:b/>
          <w:i/>
          <w:sz w:val="24"/>
          <w:szCs w:val="24"/>
        </w:rPr>
        <w:t xml:space="preserve"> a</w:t>
      </w:r>
      <w:r w:rsidR="00F644DC" w:rsidRPr="00F644DC">
        <w:rPr>
          <w:b/>
          <w:i/>
          <w:sz w:val="24"/>
          <w:szCs w:val="24"/>
        </w:rPr>
        <w:t xml:space="preserve"> </w:t>
      </w:r>
      <w:r w:rsidR="00F644DC">
        <w:rPr>
          <w:b/>
          <w:i/>
          <w:sz w:val="24"/>
          <w:szCs w:val="24"/>
        </w:rPr>
        <w:t>čerpan</w:t>
      </w:r>
      <w:r>
        <w:rPr>
          <w:b/>
          <w:i/>
          <w:sz w:val="24"/>
          <w:szCs w:val="24"/>
        </w:rPr>
        <w:t>é</w:t>
      </w:r>
      <w:r w:rsidR="00F644DC">
        <w:rPr>
          <w:b/>
          <w:i/>
          <w:sz w:val="24"/>
          <w:szCs w:val="24"/>
        </w:rPr>
        <w:t xml:space="preserve"> </w:t>
      </w:r>
      <w:r w:rsidR="00F644DC" w:rsidRPr="00F644DC">
        <w:rPr>
          <w:b/>
          <w:i/>
          <w:sz w:val="24"/>
          <w:szCs w:val="24"/>
        </w:rPr>
        <w:t>podpora elektřiny z</w:t>
      </w:r>
      <w:r w:rsidR="00F644DC">
        <w:rPr>
          <w:b/>
          <w:i/>
          <w:sz w:val="24"/>
          <w:szCs w:val="24"/>
        </w:rPr>
        <w:t> </w:t>
      </w:r>
      <w:r w:rsidR="00F644DC" w:rsidRPr="00F644DC">
        <w:rPr>
          <w:b/>
          <w:i/>
          <w:sz w:val="24"/>
          <w:szCs w:val="24"/>
        </w:rPr>
        <w:t>OZE</w:t>
      </w:r>
      <w:r w:rsidR="00F644DC">
        <w:rPr>
          <w:b/>
          <w:i/>
          <w:sz w:val="24"/>
          <w:szCs w:val="24"/>
        </w:rPr>
        <w:t xml:space="preserve"> </w:t>
      </w:r>
      <w:r>
        <w:rPr>
          <w:b/>
          <w:i/>
          <w:sz w:val="24"/>
          <w:szCs w:val="24"/>
        </w:rPr>
        <w:t xml:space="preserve">spadající pod rozhodnutí </w:t>
      </w:r>
      <w:r w:rsidR="00F644DC">
        <w:rPr>
          <w:b/>
          <w:i/>
          <w:sz w:val="24"/>
          <w:szCs w:val="24"/>
        </w:rPr>
        <w:t xml:space="preserve"> </w:t>
      </w:r>
      <w:r w:rsidR="00BD4871">
        <w:rPr>
          <w:b/>
          <w:i/>
          <w:sz w:val="24"/>
          <w:szCs w:val="24"/>
        </w:rPr>
        <w:t xml:space="preserve">Evropské komise </w:t>
      </w:r>
      <w:r w:rsidR="00F644DC">
        <w:rPr>
          <w:b/>
          <w:i/>
          <w:sz w:val="24"/>
          <w:szCs w:val="24"/>
        </w:rPr>
        <w:t>SA.40171 a SA.35177</w:t>
      </w:r>
    </w:p>
    <w:p w14:paraId="7A4F62E4" w14:textId="77777777" w:rsidR="00F644DC" w:rsidRDefault="00F644DC" w:rsidP="00305999">
      <w:pPr>
        <w:tabs>
          <w:tab w:val="left" w:pos="6640"/>
        </w:tabs>
        <w:spacing w:after="0" w:line="240" w:lineRule="auto"/>
        <w:jc w:val="both"/>
        <w:rPr>
          <w:b/>
          <w:sz w:val="24"/>
          <w:szCs w:val="24"/>
          <w:u w:val="single"/>
        </w:rPr>
      </w:pPr>
    </w:p>
    <w:p w14:paraId="5291BE23" w14:textId="25812F0F" w:rsidR="009E0D89" w:rsidRDefault="009E0D89" w:rsidP="00305999">
      <w:pPr>
        <w:tabs>
          <w:tab w:val="left" w:pos="6640"/>
        </w:tabs>
        <w:spacing w:after="0" w:line="240" w:lineRule="auto"/>
        <w:jc w:val="both"/>
        <w:rPr>
          <w:sz w:val="24"/>
          <w:szCs w:val="24"/>
          <w:u w:val="single"/>
        </w:rPr>
      </w:pPr>
      <w:r w:rsidRPr="009E0D89">
        <w:rPr>
          <w:b/>
          <w:sz w:val="24"/>
          <w:szCs w:val="24"/>
          <w:u w:val="single"/>
        </w:rPr>
        <w:t>Palivové zdroje</w:t>
      </w:r>
      <w:r>
        <w:rPr>
          <w:sz w:val="24"/>
          <w:szCs w:val="24"/>
          <w:u w:val="single"/>
        </w:rPr>
        <w:t xml:space="preserve"> s rozdělením podle </w:t>
      </w:r>
      <w:r w:rsidR="006F6138">
        <w:rPr>
          <w:sz w:val="24"/>
          <w:szCs w:val="24"/>
          <w:u w:val="single"/>
        </w:rPr>
        <w:t xml:space="preserve">data </w:t>
      </w:r>
      <w:r>
        <w:rPr>
          <w:sz w:val="24"/>
          <w:szCs w:val="24"/>
          <w:u w:val="single"/>
        </w:rPr>
        <w:t xml:space="preserve">uvedení </w:t>
      </w:r>
      <w:r w:rsidR="00AB3723">
        <w:rPr>
          <w:sz w:val="24"/>
          <w:szCs w:val="24"/>
          <w:u w:val="single"/>
        </w:rPr>
        <w:t xml:space="preserve">zdroje </w:t>
      </w:r>
      <w:r>
        <w:rPr>
          <w:sz w:val="24"/>
          <w:szCs w:val="24"/>
          <w:u w:val="single"/>
        </w:rPr>
        <w:t>do provozu:</w:t>
      </w:r>
    </w:p>
    <w:p w14:paraId="3C38218D" w14:textId="77777777" w:rsidR="00537F12" w:rsidRDefault="00537F12" w:rsidP="00305999">
      <w:pPr>
        <w:tabs>
          <w:tab w:val="left" w:pos="6640"/>
        </w:tabs>
        <w:spacing w:after="0" w:line="240" w:lineRule="auto"/>
        <w:jc w:val="both"/>
        <w:rPr>
          <w:sz w:val="24"/>
          <w:szCs w:val="24"/>
          <w:u w:val="single"/>
        </w:rPr>
      </w:pPr>
    </w:p>
    <w:p w14:paraId="506BFA16" w14:textId="77777777" w:rsidR="009E0D89" w:rsidRDefault="009E0D89" w:rsidP="00A44E8F">
      <w:pPr>
        <w:tabs>
          <w:tab w:val="left" w:pos="6640"/>
        </w:tabs>
        <w:spacing w:after="0" w:line="240" w:lineRule="auto"/>
        <w:jc w:val="center"/>
        <w:rPr>
          <w:sz w:val="24"/>
          <w:szCs w:val="24"/>
          <w:u w:val="single"/>
        </w:rPr>
      </w:pPr>
      <w:r w:rsidRPr="009E0D89">
        <w:rPr>
          <w:noProof/>
        </w:rPr>
        <w:drawing>
          <wp:inline distT="0" distB="0" distL="0" distR="0" wp14:anchorId="00D56C62" wp14:editId="7AAB45DC">
            <wp:extent cx="3837763" cy="2930400"/>
            <wp:effectExtent l="0" t="0" r="0" b="381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48905" cy="2938907"/>
                    </a:xfrm>
                    <a:prstGeom prst="rect">
                      <a:avLst/>
                    </a:prstGeom>
                    <a:noFill/>
                    <a:ln>
                      <a:noFill/>
                    </a:ln>
                  </pic:spPr>
                </pic:pic>
              </a:graphicData>
            </a:graphic>
          </wp:inline>
        </w:drawing>
      </w:r>
    </w:p>
    <w:p w14:paraId="5965EBFE" w14:textId="02E2032B" w:rsidR="009E0D89" w:rsidRPr="00A118DD" w:rsidRDefault="0002089B" w:rsidP="00A118DD">
      <w:pPr>
        <w:tabs>
          <w:tab w:val="left" w:pos="6640"/>
        </w:tabs>
        <w:spacing w:after="0" w:line="240" w:lineRule="auto"/>
        <w:ind w:left="1560"/>
        <w:jc w:val="right"/>
        <w:rPr>
          <w:sz w:val="24"/>
          <w:szCs w:val="24"/>
        </w:rPr>
      </w:pPr>
      <w:r w:rsidRPr="00A118DD">
        <w:rPr>
          <w:sz w:val="24"/>
          <w:szCs w:val="24"/>
          <w:u w:val="single"/>
        </w:rPr>
        <w:t>Zdroj:</w:t>
      </w:r>
      <w:r w:rsidRPr="00A118DD">
        <w:rPr>
          <w:sz w:val="24"/>
          <w:szCs w:val="24"/>
        </w:rPr>
        <w:t xml:space="preserve"> OTE, a.s.</w:t>
      </w:r>
    </w:p>
    <w:p w14:paraId="361B4C7C" w14:textId="77777777" w:rsidR="002D2E3F" w:rsidRDefault="002D2E3F" w:rsidP="00A44E8F">
      <w:pPr>
        <w:tabs>
          <w:tab w:val="left" w:pos="6640"/>
        </w:tabs>
        <w:spacing w:after="0" w:line="240" w:lineRule="auto"/>
        <w:jc w:val="both"/>
        <w:rPr>
          <w:b/>
          <w:sz w:val="24"/>
          <w:szCs w:val="24"/>
          <w:u w:val="single"/>
        </w:rPr>
      </w:pPr>
    </w:p>
    <w:p w14:paraId="186DA335" w14:textId="67F70C84" w:rsidR="00A44E8F" w:rsidRDefault="00A44E8F" w:rsidP="00A44E8F">
      <w:pPr>
        <w:tabs>
          <w:tab w:val="left" w:pos="6640"/>
        </w:tabs>
        <w:spacing w:after="0" w:line="240" w:lineRule="auto"/>
        <w:jc w:val="both"/>
        <w:rPr>
          <w:sz w:val="24"/>
          <w:szCs w:val="24"/>
          <w:u w:val="single"/>
        </w:rPr>
      </w:pPr>
      <w:r>
        <w:rPr>
          <w:b/>
          <w:sz w:val="24"/>
          <w:szCs w:val="24"/>
          <w:u w:val="single"/>
        </w:rPr>
        <w:t>Nep</w:t>
      </w:r>
      <w:r w:rsidRPr="009E0D89">
        <w:rPr>
          <w:b/>
          <w:sz w:val="24"/>
          <w:szCs w:val="24"/>
          <w:u w:val="single"/>
        </w:rPr>
        <w:t>alivové zdroje</w:t>
      </w:r>
      <w:r>
        <w:rPr>
          <w:sz w:val="24"/>
          <w:szCs w:val="24"/>
          <w:u w:val="single"/>
        </w:rPr>
        <w:t xml:space="preserve"> s rozdělením podle </w:t>
      </w:r>
      <w:r w:rsidR="006F6138">
        <w:rPr>
          <w:sz w:val="24"/>
          <w:szCs w:val="24"/>
          <w:u w:val="single"/>
        </w:rPr>
        <w:t xml:space="preserve">data </w:t>
      </w:r>
      <w:r>
        <w:rPr>
          <w:sz w:val="24"/>
          <w:szCs w:val="24"/>
          <w:u w:val="single"/>
        </w:rPr>
        <w:t xml:space="preserve">uvedení </w:t>
      </w:r>
      <w:r w:rsidR="00AB3723">
        <w:rPr>
          <w:sz w:val="24"/>
          <w:szCs w:val="24"/>
          <w:u w:val="single"/>
        </w:rPr>
        <w:t xml:space="preserve">zdroje </w:t>
      </w:r>
      <w:r>
        <w:rPr>
          <w:sz w:val="24"/>
          <w:szCs w:val="24"/>
          <w:u w:val="single"/>
        </w:rPr>
        <w:t>do provozu:</w:t>
      </w:r>
    </w:p>
    <w:p w14:paraId="411ADFC7" w14:textId="77777777" w:rsidR="00A44E8F" w:rsidRDefault="00A44E8F" w:rsidP="00305999">
      <w:pPr>
        <w:tabs>
          <w:tab w:val="left" w:pos="6640"/>
        </w:tabs>
        <w:spacing w:after="0" w:line="240" w:lineRule="auto"/>
        <w:jc w:val="both"/>
        <w:rPr>
          <w:sz w:val="24"/>
          <w:szCs w:val="24"/>
          <w:u w:val="single"/>
        </w:rPr>
      </w:pPr>
    </w:p>
    <w:p w14:paraId="3F079F9F" w14:textId="77777777" w:rsidR="00333C5C" w:rsidRDefault="00A44E8F" w:rsidP="00A44E8F">
      <w:pPr>
        <w:pStyle w:val="Odstavecseseznamem"/>
        <w:spacing w:after="0" w:line="240" w:lineRule="auto"/>
        <w:ind w:left="-142"/>
        <w:jc w:val="center"/>
        <w:rPr>
          <w:b/>
          <w:sz w:val="28"/>
          <w:szCs w:val="28"/>
        </w:rPr>
      </w:pPr>
      <w:r w:rsidRPr="00A44E8F">
        <w:rPr>
          <w:noProof/>
        </w:rPr>
        <w:lastRenderedPageBreak/>
        <w:drawing>
          <wp:inline distT="0" distB="0" distL="0" distR="0" wp14:anchorId="4F872502" wp14:editId="17A4017C">
            <wp:extent cx="3129420" cy="2721600"/>
            <wp:effectExtent l="0" t="0" r="0" b="317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33057" cy="2724763"/>
                    </a:xfrm>
                    <a:prstGeom prst="rect">
                      <a:avLst/>
                    </a:prstGeom>
                    <a:noFill/>
                    <a:ln>
                      <a:noFill/>
                    </a:ln>
                  </pic:spPr>
                </pic:pic>
              </a:graphicData>
            </a:graphic>
          </wp:inline>
        </w:drawing>
      </w:r>
    </w:p>
    <w:p w14:paraId="08A87224" w14:textId="412F9450" w:rsidR="0002089B" w:rsidRPr="00A118DD" w:rsidRDefault="0002089B" w:rsidP="00A118DD">
      <w:pPr>
        <w:tabs>
          <w:tab w:val="left" w:pos="6640"/>
        </w:tabs>
        <w:spacing w:after="0" w:line="240" w:lineRule="auto"/>
        <w:ind w:left="1560"/>
        <w:jc w:val="right"/>
        <w:rPr>
          <w:sz w:val="24"/>
          <w:szCs w:val="24"/>
        </w:rPr>
      </w:pPr>
      <w:r w:rsidRPr="006A3E80">
        <w:rPr>
          <w:sz w:val="24"/>
          <w:szCs w:val="24"/>
        </w:rPr>
        <w:t xml:space="preserve">        </w:t>
      </w:r>
      <w:r w:rsidRPr="00B137AE">
        <w:rPr>
          <w:sz w:val="24"/>
          <w:szCs w:val="24"/>
        </w:rPr>
        <w:t xml:space="preserve">   </w:t>
      </w:r>
      <w:r w:rsidRPr="00A118DD">
        <w:rPr>
          <w:sz w:val="24"/>
          <w:szCs w:val="24"/>
          <w:u w:val="single"/>
        </w:rPr>
        <w:t>Zdroj:</w:t>
      </w:r>
      <w:r w:rsidRPr="00A118DD">
        <w:rPr>
          <w:sz w:val="24"/>
          <w:szCs w:val="24"/>
        </w:rPr>
        <w:t xml:space="preserve"> OTE, a.s.</w:t>
      </w:r>
    </w:p>
    <w:p w14:paraId="3DDDFFBB" w14:textId="77777777" w:rsidR="0002089B" w:rsidRDefault="0002089B" w:rsidP="00A44E8F">
      <w:pPr>
        <w:tabs>
          <w:tab w:val="left" w:pos="0"/>
        </w:tabs>
        <w:overflowPunct/>
        <w:autoSpaceDE/>
        <w:autoSpaceDN/>
        <w:adjustRightInd/>
        <w:spacing w:before="240" w:after="240" w:line="259" w:lineRule="auto"/>
        <w:jc w:val="both"/>
        <w:textAlignment w:val="auto"/>
        <w:rPr>
          <w:sz w:val="24"/>
          <w:szCs w:val="24"/>
        </w:rPr>
      </w:pPr>
    </w:p>
    <w:p w14:paraId="11AACF83" w14:textId="77777777" w:rsidR="00D06AC6" w:rsidRDefault="00D06AC6" w:rsidP="00A44E8F">
      <w:pPr>
        <w:tabs>
          <w:tab w:val="left" w:pos="0"/>
        </w:tabs>
        <w:overflowPunct/>
        <w:autoSpaceDE/>
        <w:autoSpaceDN/>
        <w:adjustRightInd/>
        <w:spacing w:before="240" w:after="240" w:line="259" w:lineRule="auto"/>
        <w:jc w:val="both"/>
        <w:textAlignment w:val="auto"/>
        <w:rPr>
          <w:sz w:val="24"/>
          <w:szCs w:val="24"/>
        </w:rPr>
      </w:pPr>
    </w:p>
    <w:p w14:paraId="60E78178" w14:textId="77777777" w:rsidR="00D06AC6" w:rsidRDefault="00D06AC6" w:rsidP="00A44E8F">
      <w:pPr>
        <w:tabs>
          <w:tab w:val="left" w:pos="0"/>
        </w:tabs>
        <w:overflowPunct/>
        <w:autoSpaceDE/>
        <w:autoSpaceDN/>
        <w:adjustRightInd/>
        <w:spacing w:before="240" w:after="240" w:line="259" w:lineRule="auto"/>
        <w:jc w:val="both"/>
        <w:textAlignment w:val="auto"/>
        <w:rPr>
          <w:sz w:val="24"/>
          <w:szCs w:val="24"/>
        </w:rPr>
      </w:pPr>
    </w:p>
    <w:p w14:paraId="6D485455" w14:textId="77777777" w:rsidR="00C07DEA" w:rsidRDefault="00C07DEA" w:rsidP="00A44E8F">
      <w:pPr>
        <w:tabs>
          <w:tab w:val="left" w:pos="0"/>
        </w:tabs>
        <w:overflowPunct/>
        <w:autoSpaceDE/>
        <w:autoSpaceDN/>
        <w:adjustRightInd/>
        <w:spacing w:before="240" w:after="240" w:line="259" w:lineRule="auto"/>
        <w:jc w:val="both"/>
        <w:textAlignment w:val="auto"/>
        <w:rPr>
          <w:sz w:val="24"/>
          <w:szCs w:val="24"/>
        </w:rPr>
      </w:pPr>
    </w:p>
    <w:p w14:paraId="228377CC" w14:textId="4CB4473B" w:rsidR="00F644DC" w:rsidRPr="006A3E80" w:rsidRDefault="00296F7A" w:rsidP="00A44E8F">
      <w:pPr>
        <w:tabs>
          <w:tab w:val="left" w:pos="0"/>
        </w:tabs>
        <w:overflowPunct/>
        <w:autoSpaceDE/>
        <w:autoSpaceDN/>
        <w:adjustRightInd/>
        <w:spacing w:before="240" w:after="240" w:line="259" w:lineRule="auto"/>
        <w:jc w:val="both"/>
        <w:textAlignment w:val="auto"/>
        <w:rPr>
          <w:sz w:val="24"/>
          <w:szCs w:val="24"/>
          <w:u w:val="single"/>
        </w:rPr>
      </w:pPr>
      <w:r w:rsidRPr="006A3E80">
        <w:rPr>
          <w:sz w:val="24"/>
          <w:szCs w:val="24"/>
          <w:u w:val="single"/>
        </w:rPr>
        <w:t xml:space="preserve">Z výše uvedených tabulek vyplývá následující: </w:t>
      </w:r>
    </w:p>
    <w:p w14:paraId="28978934" w14:textId="0CEE338F" w:rsidR="00A44E8F" w:rsidRPr="004713EF" w:rsidRDefault="00A44E8F" w:rsidP="000B4301">
      <w:pPr>
        <w:pStyle w:val="Odstavecseseznamem"/>
        <w:numPr>
          <w:ilvl w:val="0"/>
          <w:numId w:val="28"/>
        </w:numPr>
        <w:tabs>
          <w:tab w:val="left" w:pos="0"/>
        </w:tabs>
        <w:overflowPunct/>
        <w:autoSpaceDE/>
        <w:autoSpaceDN/>
        <w:adjustRightInd/>
        <w:spacing w:before="240" w:after="240" w:line="259" w:lineRule="auto"/>
        <w:jc w:val="both"/>
        <w:textAlignment w:val="auto"/>
        <w:rPr>
          <w:sz w:val="24"/>
          <w:szCs w:val="24"/>
        </w:rPr>
      </w:pPr>
      <w:r w:rsidRPr="004713EF">
        <w:rPr>
          <w:sz w:val="24"/>
          <w:szCs w:val="24"/>
        </w:rPr>
        <w:t>Celkem je v systému OTE registrováno 31 025 podporovaných zdrojů, které če</w:t>
      </w:r>
      <w:r w:rsidR="003E0B13">
        <w:rPr>
          <w:sz w:val="24"/>
          <w:szCs w:val="24"/>
        </w:rPr>
        <w:t>r</w:t>
      </w:r>
      <w:r w:rsidRPr="004713EF">
        <w:rPr>
          <w:sz w:val="24"/>
          <w:szCs w:val="24"/>
        </w:rPr>
        <w:t>pají provozní podporu elektřiny z</w:t>
      </w:r>
      <w:r w:rsidR="00296F7A">
        <w:rPr>
          <w:sz w:val="24"/>
          <w:szCs w:val="24"/>
        </w:rPr>
        <w:t> </w:t>
      </w:r>
      <w:r w:rsidRPr="004713EF">
        <w:rPr>
          <w:sz w:val="24"/>
          <w:szCs w:val="24"/>
        </w:rPr>
        <w:t>OZE</w:t>
      </w:r>
      <w:r w:rsidR="00296F7A">
        <w:rPr>
          <w:sz w:val="24"/>
          <w:szCs w:val="24"/>
        </w:rPr>
        <w:t xml:space="preserve"> a tato podpora vyplacená výrobcům elektřiny v roce 2015 činila celkem  </w:t>
      </w:r>
      <w:r w:rsidR="00296F7A" w:rsidRPr="004713EF">
        <w:rPr>
          <w:sz w:val="24"/>
          <w:szCs w:val="24"/>
        </w:rPr>
        <w:t xml:space="preserve">41,09 mld. Kč </w:t>
      </w:r>
    </w:p>
    <w:p w14:paraId="3D81F9CB" w14:textId="03F231A2" w:rsidR="004D668D" w:rsidRPr="00296F7A" w:rsidRDefault="00A44E8F" w:rsidP="000B4301">
      <w:pPr>
        <w:pStyle w:val="Odstavecseseznamem"/>
        <w:numPr>
          <w:ilvl w:val="0"/>
          <w:numId w:val="27"/>
        </w:numPr>
        <w:tabs>
          <w:tab w:val="left" w:pos="0"/>
        </w:tabs>
        <w:overflowPunct/>
        <w:autoSpaceDE/>
        <w:autoSpaceDN/>
        <w:adjustRightInd/>
        <w:spacing w:before="240" w:after="240" w:line="259" w:lineRule="auto"/>
        <w:jc w:val="both"/>
        <w:textAlignment w:val="auto"/>
        <w:rPr>
          <w:sz w:val="24"/>
          <w:szCs w:val="24"/>
        </w:rPr>
      </w:pPr>
      <w:r w:rsidRPr="004713EF">
        <w:rPr>
          <w:sz w:val="24"/>
          <w:szCs w:val="24"/>
        </w:rPr>
        <w:t xml:space="preserve">Závazky zavedené na překomprenzaci podpory </w:t>
      </w:r>
      <w:r w:rsidR="00296F7A">
        <w:rPr>
          <w:sz w:val="24"/>
          <w:szCs w:val="24"/>
        </w:rPr>
        <w:t>jsou zaměřeny na zdroje spadající pod</w:t>
      </w:r>
      <w:r w:rsidRPr="004713EF">
        <w:rPr>
          <w:sz w:val="24"/>
          <w:szCs w:val="24"/>
        </w:rPr>
        <w:t xml:space="preserve">  rozhodnutí </w:t>
      </w:r>
      <w:r w:rsidR="00BD4871">
        <w:rPr>
          <w:sz w:val="24"/>
          <w:szCs w:val="24"/>
        </w:rPr>
        <w:t xml:space="preserve">Evropské komise </w:t>
      </w:r>
      <w:r w:rsidRPr="004713EF">
        <w:rPr>
          <w:sz w:val="24"/>
          <w:szCs w:val="24"/>
        </w:rPr>
        <w:t>SA. 35177 a SA.40171 s.</w:t>
      </w:r>
      <w:r w:rsidRPr="004713EF">
        <w:rPr>
          <w:b/>
          <w:color w:val="FF0000"/>
          <w:sz w:val="24"/>
          <w:szCs w:val="24"/>
        </w:rPr>
        <w:t xml:space="preserve"> </w:t>
      </w:r>
      <w:r w:rsidR="00296F7A">
        <w:rPr>
          <w:b/>
          <w:sz w:val="24"/>
          <w:szCs w:val="24"/>
        </w:rPr>
        <w:t>P</w:t>
      </w:r>
      <w:r w:rsidRPr="00296F7A">
        <w:rPr>
          <w:b/>
          <w:sz w:val="24"/>
          <w:szCs w:val="24"/>
        </w:rPr>
        <w:t xml:space="preserve">od </w:t>
      </w:r>
      <w:r w:rsidR="00296F7A">
        <w:rPr>
          <w:b/>
          <w:sz w:val="24"/>
          <w:szCs w:val="24"/>
        </w:rPr>
        <w:t xml:space="preserve">uvedená </w:t>
      </w:r>
      <w:r w:rsidR="004D668D" w:rsidRPr="00296F7A">
        <w:rPr>
          <w:b/>
          <w:sz w:val="24"/>
          <w:szCs w:val="24"/>
        </w:rPr>
        <w:t xml:space="preserve">rozhodnutí </w:t>
      </w:r>
      <w:r w:rsidR="00BD4871">
        <w:rPr>
          <w:b/>
          <w:sz w:val="24"/>
          <w:szCs w:val="24"/>
        </w:rPr>
        <w:t xml:space="preserve">Evropské komise </w:t>
      </w:r>
      <w:r w:rsidR="00296F7A">
        <w:rPr>
          <w:b/>
          <w:sz w:val="24"/>
          <w:szCs w:val="24"/>
        </w:rPr>
        <w:t xml:space="preserve">spadá </w:t>
      </w:r>
      <w:r w:rsidR="004D668D" w:rsidRPr="00296F7A">
        <w:rPr>
          <w:b/>
          <w:sz w:val="24"/>
          <w:szCs w:val="24"/>
        </w:rPr>
        <w:t>celkem</w:t>
      </w:r>
      <w:r w:rsidR="00B137AE">
        <w:rPr>
          <w:b/>
          <w:sz w:val="24"/>
          <w:szCs w:val="24"/>
        </w:rPr>
        <w:t xml:space="preserve"> </w:t>
      </w:r>
      <w:r w:rsidRPr="00296F7A">
        <w:rPr>
          <w:b/>
          <w:sz w:val="24"/>
          <w:szCs w:val="24"/>
        </w:rPr>
        <w:t>29 673 počtu podporovaných zdrojů OZE</w:t>
      </w:r>
      <w:r w:rsidR="00296F7A">
        <w:rPr>
          <w:b/>
          <w:sz w:val="24"/>
          <w:szCs w:val="24"/>
        </w:rPr>
        <w:t xml:space="preserve">, které v roce 2015 čerpaly podporu ve výši 39,15 mld. Kč, </w:t>
      </w:r>
      <w:r w:rsidR="00296F7A" w:rsidRPr="004713EF">
        <w:rPr>
          <w:sz w:val="24"/>
          <w:szCs w:val="24"/>
        </w:rPr>
        <w:t>tedy</w:t>
      </w:r>
      <w:r w:rsidRPr="00296F7A">
        <w:rPr>
          <w:sz w:val="24"/>
          <w:szCs w:val="24"/>
        </w:rPr>
        <w:t xml:space="preserve"> </w:t>
      </w:r>
      <w:r w:rsidR="00296F7A">
        <w:rPr>
          <w:sz w:val="24"/>
          <w:szCs w:val="24"/>
        </w:rPr>
        <w:t>jedná se o</w:t>
      </w:r>
      <w:r w:rsidR="004D668D" w:rsidRPr="00296F7A">
        <w:rPr>
          <w:sz w:val="24"/>
          <w:szCs w:val="24"/>
        </w:rPr>
        <w:t>:</w:t>
      </w:r>
    </w:p>
    <w:p w14:paraId="7195974F" w14:textId="23D247E6" w:rsidR="004D668D" w:rsidRDefault="00E01903" w:rsidP="000B4301">
      <w:pPr>
        <w:pStyle w:val="Odstavecseseznamem"/>
        <w:numPr>
          <w:ilvl w:val="0"/>
          <w:numId w:val="26"/>
        </w:numPr>
        <w:tabs>
          <w:tab w:val="left" w:pos="0"/>
        </w:tabs>
        <w:overflowPunct/>
        <w:autoSpaceDE/>
        <w:autoSpaceDN/>
        <w:adjustRightInd/>
        <w:spacing w:before="240" w:after="240" w:line="259" w:lineRule="auto"/>
        <w:jc w:val="both"/>
        <w:textAlignment w:val="auto"/>
        <w:rPr>
          <w:sz w:val="24"/>
          <w:szCs w:val="24"/>
        </w:rPr>
      </w:pPr>
      <w:r w:rsidRPr="004D668D">
        <w:rPr>
          <w:sz w:val="24"/>
          <w:szCs w:val="24"/>
        </w:rPr>
        <w:t xml:space="preserve">95,6 % </w:t>
      </w:r>
      <w:r w:rsidR="00375CB8" w:rsidRPr="004D668D">
        <w:rPr>
          <w:sz w:val="24"/>
          <w:szCs w:val="24"/>
        </w:rPr>
        <w:t xml:space="preserve">zdrojů z celkového počtu zdrojů OZE, které v současné době čerpají podporu </w:t>
      </w:r>
      <w:r w:rsidRPr="004D668D">
        <w:rPr>
          <w:sz w:val="24"/>
          <w:szCs w:val="24"/>
        </w:rPr>
        <w:t xml:space="preserve"> a </w:t>
      </w:r>
    </w:p>
    <w:p w14:paraId="58775D4A" w14:textId="56DD3720" w:rsidR="00A44E8F" w:rsidRPr="004D668D" w:rsidRDefault="00E01903" w:rsidP="000B4301">
      <w:pPr>
        <w:pStyle w:val="Odstavecseseznamem"/>
        <w:numPr>
          <w:ilvl w:val="0"/>
          <w:numId w:val="26"/>
        </w:numPr>
        <w:tabs>
          <w:tab w:val="left" w:pos="0"/>
        </w:tabs>
        <w:overflowPunct/>
        <w:autoSpaceDE/>
        <w:autoSpaceDN/>
        <w:adjustRightInd/>
        <w:spacing w:before="240" w:after="240" w:line="259" w:lineRule="auto"/>
        <w:jc w:val="both"/>
        <w:textAlignment w:val="auto"/>
        <w:rPr>
          <w:sz w:val="24"/>
          <w:szCs w:val="24"/>
        </w:rPr>
      </w:pPr>
      <w:r w:rsidRPr="004D668D">
        <w:rPr>
          <w:sz w:val="24"/>
          <w:szCs w:val="24"/>
        </w:rPr>
        <w:t>95,</w:t>
      </w:r>
      <w:r w:rsidR="00296F7A">
        <w:rPr>
          <w:sz w:val="24"/>
          <w:szCs w:val="24"/>
        </w:rPr>
        <w:t>3</w:t>
      </w:r>
      <w:r w:rsidRPr="004D668D">
        <w:rPr>
          <w:sz w:val="24"/>
          <w:szCs w:val="24"/>
        </w:rPr>
        <w:t xml:space="preserve"> % hodnoty </w:t>
      </w:r>
      <w:r w:rsidR="004D289D">
        <w:rPr>
          <w:sz w:val="24"/>
          <w:szCs w:val="24"/>
        </w:rPr>
        <w:t xml:space="preserve">z celkově </w:t>
      </w:r>
      <w:r w:rsidRPr="004D668D">
        <w:rPr>
          <w:sz w:val="24"/>
          <w:szCs w:val="24"/>
        </w:rPr>
        <w:t xml:space="preserve">vyplacené </w:t>
      </w:r>
      <w:r w:rsidR="00375CB8" w:rsidRPr="004D668D">
        <w:rPr>
          <w:sz w:val="24"/>
          <w:szCs w:val="24"/>
        </w:rPr>
        <w:t xml:space="preserve">podpory elektřiny z OZE </w:t>
      </w:r>
      <w:r w:rsidRPr="004D668D">
        <w:rPr>
          <w:sz w:val="24"/>
          <w:szCs w:val="24"/>
        </w:rPr>
        <w:t>za rok 2015</w:t>
      </w:r>
      <w:r w:rsidR="00A44E8F" w:rsidRPr="004D668D">
        <w:rPr>
          <w:sz w:val="24"/>
          <w:szCs w:val="24"/>
        </w:rPr>
        <w:t xml:space="preserve">. </w:t>
      </w:r>
    </w:p>
    <w:p w14:paraId="29893326" w14:textId="77777777" w:rsidR="00CA77B4" w:rsidRDefault="00CA77B4" w:rsidP="00E01903">
      <w:pPr>
        <w:tabs>
          <w:tab w:val="left" w:pos="0"/>
        </w:tabs>
        <w:overflowPunct/>
        <w:autoSpaceDE/>
        <w:autoSpaceDN/>
        <w:adjustRightInd/>
        <w:spacing w:before="240" w:after="240" w:line="259" w:lineRule="auto"/>
        <w:jc w:val="both"/>
        <w:textAlignment w:val="auto"/>
        <w:rPr>
          <w:sz w:val="24"/>
          <w:szCs w:val="24"/>
        </w:rPr>
      </w:pPr>
    </w:p>
    <w:p w14:paraId="6FC75660" w14:textId="1CB58DE3" w:rsidR="00F644DC" w:rsidRPr="00F644DC" w:rsidRDefault="00F644DC" w:rsidP="00C07DEA">
      <w:pPr>
        <w:pStyle w:val="Odstavecseseznamem"/>
        <w:numPr>
          <w:ilvl w:val="0"/>
          <w:numId w:val="61"/>
        </w:numPr>
        <w:tabs>
          <w:tab w:val="left" w:pos="6640"/>
        </w:tabs>
        <w:spacing w:after="0" w:line="240" w:lineRule="auto"/>
        <w:jc w:val="both"/>
        <w:rPr>
          <w:b/>
          <w:i/>
          <w:sz w:val="24"/>
          <w:szCs w:val="24"/>
        </w:rPr>
      </w:pPr>
      <w:r w:rsidRPr="00F644DC">
        <w:rPr>
          <w:b/>
          <w:i/>
          <w:sz w:val="24"/>
          <w:szCs w:val="24"/>
        </w:rPr>
        <w:t>Počet zdrojů</w:t>
      </w:r>
      <w:r>
        <w:rPr>
          <w:b/>
          <w:i/>
          <w:sz w:val="24"/>
          <w:szCs w:val="24"/>
        </w:rPr>
        <w:t xml:space="preserve"> a</w:t>
      </w:r>
      <w:r w:rsidRPr="00F644DC">
        <w:rPr>
          <w:b/>
          <w:i/>
          <w:sz w:val="24"/>
          <w:szCs w:val="24"/>
        </w:rPr>
        <w:t xml:space="preserve"> </w:t>
      </w:r>
      <w:r>
        <w:rPr>
          <w:b/>
          <w:i/>
          <w:sz w:val="24"/>
          <w:szCs w:val="24"/>
        </w:rPr>
        <w:t xml:space="preserve">čerpaná </w:t>
      </w:r>
      <w:r w:rsidRPr="00F644DC">
        <w:rPr>
          <w:b/>
          <w:i/>
          <w:sz w:val="24"/>
          <w:szCs w:val="24"/>
        </w:rPr>
        <w:t>podpora elektřiny z</w:t>
      </w:r>
      <w:r>
        <w:rPr>
          <w:b/>
          <w:i/>
          <w:sz w:val="24"/>
          <w:szCs w:val="24"/>
        </w:rPr>
        <w:t> </w:t>
      </w:r>
      <w:r w:rsidRPr="00F644DC">
        <w:rPr>
          <w:b/>
          <w:i/>
          <w:sz w:val="24"/>
          <w:szCs w:val="24"/>
        </w:rPr>
        <w:t>OZE</w:t>
      </w:r>
      <w:r>
        <w:rPr>
          <w:b/>
          <w:i/>
          <w:sz w:val="24"/>
          <w:szCs w:val="24"/>
        </w:rPr>
        <w:t xml:space="preserve"> </w:t>
      </w:r>
      <w:r w:rsidR="004D289D">
        <w:rPr>
          <w:b/>
          <w:i/>
          <w:sz w:val="24"/>
          <w:szCs w:val="24"/>
        </w:rPr>
        <w:t>nad hranicí de minimis</w:t>
      </w:r>
      <w:r w:rsidR="00697DA5">
        <w:rPr>
          <w:b/>
          <w:i/>
          <w:sz w:val="24"/>
          <w:szCs w:val="24"/>
        </w:rPr>
        <w:t xml:space="preserve"> při posuzování podpory za jednotlivé zdroje</w:t>
      </w:r>
    </w:p>
    <w:p w14:paraId="4D498F05" w14:textId="77777777" w:rsidR="00F644DC" w:rsidRDefault="00F644DC" w:rsidP="00F452A9">
      <w:pPr>
        <w:spacing w:after="0" w:line="240" w:lineRule="auto"/>
        <w:jc w:val="both"/>
        <w:rPr>
          <w:b/>
          <w:sz w:val="24"/>
          <w:szCs w:val="24"/>
          <w:u w:val="single"/>
        </w:rPr>
      </w:pPr>
    </w:p>
    <w:p w14:paraId="1A008D42" w14:textId="77777777" w:rsidR="00E01903" w:rsidRPr="00F452A9" w:rsidRDefault="00CE6658" w:rsidP="00F452A9">
      <w:pPr>
        <w:spacing w:after="0" w:line="240" w:lineRule="auto"/>
        <w:jc w:val="both"/>
        <w:rPr>
          <w:sz w:val="24"/>
          <w:szCs w:val="24"/>
          <w:u w:val="single"/>
        </w:rPr>
      </w:pPr>
      <w:r w:rsidRPr="009E0D89">
        <w:rPr>
          <w:b/>
          <w:sz w:val="24"/>
          <w:szCs w:val="24"/>
          <w:u w:val="single"/>
        </w:rPr>
        <w:t>Palivové zdroje</w:t>
      </w:r>
      <w:r w:rsidRPr="00AE30D4">
        <w:rPr>
          <w:sz w:val="24"/>
          <w:szCs w:val="24"/>
          <w:u w:val="single"/>
        </w:rPr>
        <w:t xml:space="preserve">, které pobírají podporu </w:t>
      </w:r>
      <w:r w:rsidR="00F452A9">
        <w:rPr>
          <w:sz w:val="24"/>
          <w:szCs w:val="24"/>
          <w:u w:val="single"/>
        </w:rPr>
        <w:t>(podpory) nad hranici de minimis</w:t>
      </w:r>
      <w:r>
        <w:rPr>
          <w:sz w:val="24"/>
          <w:szCs w:val="24"/>
          <w:u w:val="single"/>
        </w:rPr>
        <w:t>:</w:t>
      </w:r>
    </w:p>
    <w:p w14:paraId="2237D9AC" w14:textId="77777777" w:rsidR="00CE6658" w:rsidRDefault="00CE6658" w:rsidP="00333C5C">
      <w:pPr>
        <w:pStyle w:val="Odstavecseseznamem"/>
        <w:spacing w:after="0" w:line="240" w:lineRule="auto"/>
        <w:ind w:left="-142"/>
        <w:jc w:val="both"/>
        <w:rPr>
          <w:b/>
          <w:sz w:val="28"/>
          <w:szCs w:val="28"/>
        </w:rPr>
      </w:pPr>
    </w:p>
    <w:p w14:paraId="53A653E8" w14:textId="77777777" w:rsidR="00F452A9" w:rsidRDefault="00F452A9" w:rsidP="00333C5C">
      <w:pPr>
        <w:pStyle w:val="Odstavecseseznamem"/>
        <w:spacing w:after="0" w:line="240" w:lineRule="auto"/>
        <w:ind w:left="-142"/>
        <w:jc w:val="both"/>
        <w:rPr>
          <w:b/>
          <w:sz w:val="28"/>
          <w:szCs w:val="28"/>
        </w:rPr>
      </w:pPr>
      <w:r w:rsidRPr="00F452A9">
        <w:rPr>
          <w:noProof/>
        </w:rPr>
        <w:lastRenderedPageBreak/>
        <w:drawing>
          <wp:inline distT="0" distB="0" distL="0" distR="0" wp14:anchorId="22A7C606" wp14:editId="09D9AF91">
            <wp:extent cx="5760720" cy="3111829"/>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3111829"/>
                    </a:xfrm>
                    <a:prstGeom prst="rect">
                      <a:avLst/>
                    </a:prstGeom>
                    <a:noFill/>
                    <a:ln>
                      <a:noFill/>
                    </a:ln>
                  </pic:spPr>
                </pic:pic>
              </a:graphicData>
            </a:graphic>
          </wp:inline>
        </w:drawing>
      </w:r>
    </w:p>
    <w:p w14:paraId="035C3570" w14:textId="77777777" w:rsidR="006A3E80" w:rsidRPr="00A118DD" w:rsidRDefault="006A3E80" w:rsidP="00A118DD">
      <w:pPr>
        <w:tabs>
          <w:tab w:val="left" w:pos="6640"/>
        </w:tabs>
        <w:spacing w:after="0" w:line="240" w:lineRule="auto"/>
        <w:ind w:left="142"/>
        <w:jc w:val="right"/>
        <w:rPr>
          <w:sz w:val="24"/>
          <w:szCs w:val="24"/>
        </w:rPr>
      </w:pPr>
      <w:r w:rsidRPr="00A118DD">
        <w:rPr>
          <w:sz w:val="24"/>
          <w:szCs w:val="24"/>
          <w:u w:val="single"/>
        </w:rPr>
        <w:t>Zdroj:</w:t>
      </w:r>
      <w:r w:rsidRPr="00A118DD">
        <w:rPr>
          <w:sz w:val="24"/>
          <w:szCs w:val="24"/>
        </w:rPr>
        <w:t xml:space="preserve"> OTE, a.s.</w:t>
      </w:r>
    </w:p>
    <w:p w14:paraId="2EEDBC81" w14:textId="77777777" w:rsidR="00CE6658" w:rsidRDefault="00CE6658" w:rsidP="00333C5C">
      <w:pPr>
        <w:pStyle w:val="Odstavecseseznamem"/>
        <w:spacing w:after="0" w:line="240" w:lineRule="auto"/>
        <w:ind w:left="-142"/>
        <w:jc w:val="both"/>
        <w:rPr>
          <w:b/>
          <w:sz w:val="28"/>
          <w:szCs w:val="28"/>
        </w:rPr>
      </w:pPr>
    </w:p>
    <w:p w14:paraId="3ABC011C" w14:textId="77777777" w:rsidR="00D06AC6" w:rsidRDefault="00D06AC6" w:rsidP="00333C5C">
      <w:pPr>
        <w:pStyle w:val="Odstavecseseznamem"/>
        <w:spacing w:after="0" w:line="240" w:lineRule="auto"/>
        <w:ind w:left="-142"/>
        <w:jc w:val="both"/>
        <w:rPr>
          <w:b/>
          <w:sz w:val="28"/>
          <w:szCs w:val="28"/>
        </w:rPr>
      </w:pPr>
    </w:p>
    <w:p w14:paraId="59836A82" w14:textId="77777777" w:rsidR="00D06AC6" w:rsidRDefault="00D06AC6" w:rsidP="00333C5C">
      <w:pPr>
        <w:pStyle w:val="Odstavecseseznamem"/>
        <w:spacing w:after="0" w:line="240" w:lineRule="auto"/>
        <w:ind w:left="-142"/>
        <w:jc w:val="both"/>
        <w:rPr>
          <w:b/>
          <w:sz w:val="28"/>
          <w:szCs w:val="28"/>
        </w:rPr>
      </w:pPr>
    </w:p>
    <w:p w14:paraId="2199E72D" w14:textId="77777777" w:rsidR="00D06AC6" w:rsidRDefault="00D06AC6" w:rsidP="00333C5C">
      <w:pPr>
        <w:pStyle w:val="Odstavecseseznamem"/>
        <w:spacing w:after="0" w:line="240" w:lineRule="auto"/>
        <w:ind w:left="-142"/>
        <w:jc w:val="both"/>
        <w:rPr>
          <w:b/>
          <w:sz w:val="28"/>
          <w:szCs w:val="28"/>
        </w:rPr>
      </w:pPr>
    </w:p>
    <w:p w14:paraId="28467D0B" w14:textId="77777777" w:rsidR="00D06AC6" w:rsidRDefault="00D06AC6" w:rsidP="00333C5C">
      <w:pPr>
        <w:pStyle w:val="Odstavecseseznamem"/>
        <w:spacing w:after="0" w:line="240" w:lineRule="auto"/>
        <w:ind w:left="-142"/>
        <w:jc w:val="both"/>
        <w:rPr>
          <w:b/>
          <w:sz w:val="28"/>
          <w:szCs w:val="28"/>
        </w:rPr>
      </w:pPr>
    </w:p>
    <w:p w14:paraId="3337E4B7" w14:textId="77777777" w:rsidR="00D06AC6" w:rsidRDefault="00D06AC6" w:rsidP="00333C5C">
      <w:pPr>
        <w:pStyle w:val="Odstavecseseznamem"/>
        <w:spacing w:after="0" w:line="240" w:lineRule="auto"/>
        <w:ind w:left="-142"/>
        <w:jc w:val="both"/>
        <w:rPr>
          <w:b/>
          <w:sz w:val="28"/>
          <w:szCs w:val="28"/>
        </w:rPr>
      </w:pPr>
    </w:p>
    <w:p w14:paraId="024E1288" w14:textId="77777777" w:rsidR="00D06AC6" w:rsidRDefault="00D06AC6" w:rsidP="00333C5C">
      <w:pPr>
        <w:pStyle w:val="Odstavecseseznamem"/>
        <w:spacing w:after="0" w:line="240" w:lineRule="auto"/>
        <w:ind w:left="-142"/>
        <w:jc w:val="both"/>
        <w:rPr>
          <w:b/>
          <w:sz w:val="28"/>
          <w:szCs w:val="28"/>
        </w:rPr>
      </w:pPr>
    </w:p>
    <w:p w14:paraId="08299AEA" w14:textId="77777777" w:rsidR="00D06AC6" w:rsidRDefault="00D06AC6" w:rsidP="00333C5C">
      <w:pPr>
        <w:pStyle w:val="Odstavecseseznamem"/>
        <w:spacing w:after="0" w:line="240" w:lineRule="auto"/>
        <w:ind w:left="-142"/>
        <w:jc w:val="both"/>
        <w:rPr>
          <w:b/>
          <w:sz w:val="28"/>
          <w:szCs w:val="28"/>
        </w:rPr>
      </w:pPr>
    </w:p>
    <w:p w14:paraId="716576CE" w14:textId="77777777" w:rsidR="00F452A9" w:rsidRPr="00F452A9" w:rsidRDefault="00F452A9" w:rsidP="00F452A9">
      <w:pPr>
        <w:spacing w:after="0" w:line="240" w:lineRule="auto"/>
        <w:jc w:val="both"/>
        <w:rPr>
          <w:sz w:val="24"/>
          <w:szCs w:val="24"/>
          <w:u w:val="single"/>
        </w:rPr>
      </w:pPr>
      <w:r>
        <w:rPr>
          <w:b/>
          <w:sz w:val="24"/>
          <w:szCs w:val="24"/>
          <w:u w:val="single"/>
        </w:rPr>
        <w:t>Nep</w:t>
      </w:r>
      <w:r w:rsidRPr="009E0D89">
        <w:rPr>
          <w:b/>
          <w:sz w:val="24"/>
          <w:szCs w:val="24"/>
          <w:u w:val="single"/>
        </w:rPr>
        <w:t>alivové zdroje</w:t>
      </w:r>
      <w:r w:rsidRPr="00AE30D4">
        <w:rPr>
          <w:sz w:val="24"/>
          <w:szCs w:val="24"/>
          <w:u w:val="single"/>
        </w:rPr>
        <w:t xml:space="preserve">, které pobírají podporu </w:t>
      </w:r>
      <w:r>
        <w:rPr>
          <w:sz w:val="24"/>
          <w:szCs w:val="24"/>
          <w:u w:val="single"/>
        </w:rPr>
        <w:t>(podpory) nad hranici de minimis:</w:t>
      </w:r>
    </w:p>
    <w:p w14:paraId="5C8BA3C9" w14:textId="77777777" w:rsidR="00F452A9" w:rsidRDefault="00F452A9" w:rsidP="00333C5C">
      <w:pPr>
        <w:pStyle w:val="Odstavecseseznamem"/>
        <w:spacing w:after="0" w:line="240" w:lineRule="auto"/>
        <w:ind w:left="-142"/>
        <w:jc w:val="both"/>
        <w:rPr>
          <w:b/>
          <w:sz w:val="28"/>
          <w:szCs w:val="28"/>
        </w:rPr>
      </w:pPr>
    </w:p>
    <w:p w14:paraId="74174609" w14:textId="77777777" w:rsidR="00CE6658" w:rsidRDefault="00F452A9" w:rsidP="00333C5C">
      <w:pPr>
        <w:pStyle w:val="Odstavecseseznamem"/>
        <w:spacing w:after="0" w:line="240" w:lineRule="auto"/>
        <w:ind w:left="-142"/>
        <w:jc w:val="both"/>
        <w:rPr>
          <w:b/>
          <w:sz w:val="28"/>
          <w:szCs w:val="28"/>
        </w:rPr>
      </w:pPr>
      <w:r w:rsidRPr="00F452A9">
        <w:rPr>
          <w:noProof/>
        </w:rPr>
        <w:drawing>
          <wp:inline distT="0" distB="0" distL="0" distR="0" wp14:anchorId="41560276" wp14:editId="7F310605">
            <wp:extent cx="5760720" cy="2888747"/>
            <wp:effectExtent l="0" t="0" r="0" b="6985"/>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2888747"/>
                    </a:xfrm>
                    <a:prstGeom prst="rect">
                      <a:avLst/>
                    </a:prstGeom>
                    <a:noFill/>
                    <a:ln>
                      <a:noFill/>
                    </a:ln>
                  </pic:spPr>
                </pic:pic>
              </a:graphicData>
            </a:graphic>
          </wp:inline>
        </w:drawing>
      </w:r>
    </w:p>
    <w:p w14:paraId="037AC7E2" w14:textId="77777777" w:rsidR="006A3E80" w:rsidRPr="00A118DD" w:rsidRDefault="006A3E80" w:rsidP="00A118DD">
      <w:pPr>
        <w:tabs>
          <w:tab w:val="left" w:pos="6640"/>
        </w:tabs>
        <w:spacing w:after="0" w:line="240" w:lineRule="auto"/>
        <w:ind w:left="142"/>
        <w:jc w:val="right"/>
        <w:rPr>
          <w:sz w:val="24"/>
          <w:szCs w:val="24"/>
        </w:rPr>
      </w:pPr>
      <w:r w:rsidRPr="00A118DD">
        <w:rPr>
          <w:sz w:val="24"/>
          <w:szCs w:val="24"/>
          <w:u w:val="single"/>
        </w:rPr>
        <w:t>Zdroj:</w:t>
      </w:r>
      <w:r w:rsidRPr="00A118DD">
        <w:rPr>
          <w:sz w:val="24"/>
          <w:szCs w:val="24"/>
        </w:rPr>
        <w:t xml:space="preserve"> OTE, a.s.</w:t>
      </w:r>
    </w:p>
    <w:p w14:paraId="3BE6B650" w14:textId="77777777" w:rsidR="009D3296" w:rsidRDefault="009D3296" w:rsidP="00213BA3">
      <w:pPr>
        <w:tabs>
          <w:tab w:val="left" w:pos="6640"/>
        </w:tabs>
        <w:spacing w:after="0" w:line="240" w:lineRule="auto"/>
        <w:jc w:val="both"/>
        <w:rPr>
          <w:b/>
          <w:sz w:val="24"/>
          <w:szCs w:val="24"/>
          <w:u w:val="single"/>
        </w:rPr>
      </w:pPr>
    </w:p>
    <w:p w14:paraId="3D8FB0A1" w14:textId="38A3A283" w:rsidR="000675E2" w:rsidRPr="006A3E80" w:rsidRDefault="000675E2" w:rsidP="006A3E80">
      <w:pPr>
        <w:tabs>
          <w:tab w:val="left" w:pos="0"/>
        </w:tabs>
        <w:overflowPunct/>
        <w:autoSpaceDE/>
        <w:autoSpaceDN/>
        <w:adjustRightInd/>
        <w:spacing w:before="100" w:beforeAutospacing="1" w:after="100" w:afterAutospacing="1" w:line="276" w:lineRule="auto"/>
        <w:jc w:val="both"/>
        <w:textAlignment w:val="auto"/>
        <w:rPr>
          <w:sz w:val="24"/>
          <w:szCs w:val="24"/>
          <w:u w:val="single"/>
        </w:rPr>
      </w:pPr>
      <w:r w:rsidRPr="006A3E80">
        <w:rPr>
          <w:sz w:val="24"/>
          <w:szCs w:val="24"/>
          <w:u w:val="single"/>
        </w:rPr>
        <w:lastRenderedPageBreak/>
        <w:t>Z výše uvedených tabul</w:t>
      </w:r>
      <w:r w:rsidR="00296F7A" w:rsidRPr="006A3E80">
        <w:rPr>
          <w:sz w:val="24"/>
          <w:szCs w:val="24"/>
          <w:u w:val="single"/>
        </w:rPr>
        <w:t>ek</w:t>
      </w:r>
      <w:r w:rsidRPr="006A3E80">
        <w:rPr>
          <w:sz w:val="24"/>
          <w:szCs w:val="24"/>
          <w:u w:val="single"/>
        </w:rPr>
        <w:t xml:space="preserve"> vyplývá</w:t>
      </w:r>
      <w:r w:rsidR="00296F7A" w:rsidRPr="006A3E80">
        <w:rPr>
          <w:sz w:val="24"/>
          <w:szCs w:val="24"/>
          <w:u w:val="single"/>
        </w:rPr>
        <w:t xml:space="preserve"> následující: </w:t>
      </w:r>
    </w:p>
    <w:p w14:paraId="33F62916" w14:textId="7D66CFA4" w:rsidR="0002089B" w:rsidRPr="004713EF" w:rsidRDefault="0002089B" w:rsidP="000B4301">
      <w:pPr>
        <w:pStyle w:val="Odstavecseseznamem"/>
        <w:numPr>
          <w:ilvl w:val="0"/>
          <w:numId w:val="26"/>
        </w:numPr>
        <w:tabs>
          <w:tab w:val="left" w:pos="0"/>
        </w:tabs>
        <w:overflowPunct/>
        <w:autoSpaceDE/>
        <w:autoSpaceDN/>
        <w:adjustRightInd/>
        <w:spacing w:before="100" w:beforeAutospacing="1" w:after="100" w:afterAutospacing="1" w:line="276" w:lineRule="auto"/>
        <w:jc w:val="both"/>
        <w:textAlignment w:val="auto"/>
        <w:rPr>
          <w:sz w:val="24"/>
          <w:szCs w:val="24"/>
        </w:rPr>
      </w:pPr>
      <w:r>
        <w:rPr>
          <w:b/>
          <w:sz w:val="24"/>
          <w:szCs w:val="24"/>
        </w:rPr>
        <w:t xml:space="preserve">celkový </w:t>
      </w:r>
      <w:r w:rsidRPr="00FD48F4">
        <w:rPr>
          <w:b/>
          <w:sz w:val="24"/>
          <w:szCs w:val="24"/>
        </w:rPr>
        <w:t>počet  zdrojů</w:t>
      </w:r>
      <w:r>
        <w:rPr>
          <w:b/>
          <w:sz w:val="24"/>
          <w:szCs w:val="24"/>
        </w:rPr>
        <w:t>, které spad</w:t>
      </w:r>
      <w:r w:rsidR="00ED1764">
        <w:rPr>
          <w:b/>
          <w:sz w:val="24"/>
          <w:szCs w:val="24"/>
        </w:rPr>
        <w:t>a</w:t>
      </w:r>
      <w:r>
        <w:rPr>
          <w:b/>
          <w:sz w:val="24"/>
          <w:szCs w:val="24"/>
        </w:rPr>
        <w:t xml:space="preserve">jí pod rozhodnutí </w:t>
      </w:r>
      <w:r w:rsidR="00BD4871">
        <w:rPr>
          <w:b/>
          <w:sz w:val="24"/>
          <w:szCs w:val="24"/>
        </w:rPr>
        <w:t xml:space="preserve">Evropské komise </w:t>
      </w:r>
      <w:r>
        <w:rPr>
          <w:b/>
          <w:sz w:val="24"/>
          <w:szCs w:val="24"/>
        </w:rPr>
        <w:t>SA. 35177 a SA. 40171</w:t>
      </w:r>
      <w:r w:rsidRPr="00FD48F4">
        <w:rPr>
          <w:b/>
          <w:sz w:val="24"/>
          <w:szCs w:val="24"/>
        </w:rPr>
        <w:t>, které čerpal</w:t>
      </w:r>
      <w:r>
        <w:rPr>
          <w:b/>
          <w:sz w:val="24"/>
          <w:szCs w:val="24"/>
        </w:rPr>
        <w:t>y</w:t>
      </w:r>
      <w:r w:rsidRPr="00FD48F4">
        <w:rPr>
          <w:b/>
          <w:sz w:val="24"/>
          <w:szCs w:val="24"/>
        </w:rPr>
        <w:t xml:space="preserve"> </w:t>
      </w:r>
      <w:r>
        <w:rPr>
          <w:b/>
          <w:sz w:val="24"/>
          <w:szCs w:val="24"/>
        </w:rPr>
        <w:t xml:space="preserve">celkovou </w:t>
      </w:r>
      <w:r w:rsidRPr="00FD48F4">
        <w:rPr>
          <w:b/>
          <w:sz w:val="24"/>
          <w:szCs w:val="24"/>
        </w:rPr>
        <w:t xml:space="preserve">podporu </w:t>
      </w:r>
      <w:r>
        <w:rPr>
          <w:b/>
          <w:sz w:val="24"/>
          <w:szCs w:val="24"/>
        </w:rPr>
        <w:t xml:space="preserve">(pouze podporu </w:t>
      </w:r>
      <w:r w:rsidRPr="00FD48F4">
        <w:rPr>
          <w:b/>
          <w:sz w:val="24"/>
          <w:szCs w:val="24"/>
        </w:rPr>
        <w:t xml:space="preserve">elektřiny z OZE </w:t>
      </w:r>
      <w:r>
        <w:rPr>
          <w:b/>
          <w:sz w:val="24"/>
          <w:szCs w:val="24"/>
        </w:rPr>
        <w:t xml:space="preserve">nebo s kumulací s dalšími druhy podpor) </w:t>
      </w:r>
      <w:r w:rsidRPr="00FD48F4">
        <w:rPr>
          <w:b/>
          <w:sz w:val="24"/>
          <w:szCs w:val="24"/>
        </w:rPr>
        <w:t xml:space="preserve">nad hranici de minimis je </w:t>
      </w:r>
      <w:r>
        <w:rPr>
          <w:b/>
          <w:sz w:val="24"/>
          <w:szCs w:val="24"/>
        </w:rPr>
        <w:t>2 006. Tyto zdroje čerpaly v roce 2015 podporu elektřiny z OZE ve výši 34,5 mld. Kč</w:t>
      </w:r>
      <w:r w:rsidRPr="00FD48F4">
        <w:rPr>
          <w:b/>
          <w:sz w:val="24"/>
          <w:szCs w:val="24"/>
        </w:rPr>
        <w:t>.</w:t>
      </w:r>
      <w:r w:rsidRPr="00EF3A36">
        <w:rPr>
          <w:sz w:val="24"/>
          <w:szCs w:val="24"/>
        </w:rPr>
        <w:t xml:space="preserve"> </w:t>
      </w:r>
      <w:r>
        <w:rPr>
          <w:sz w:val="24"/>
          <w:szCs w:val="24"/>
        </w:rPr>
        <w:t>J</w:t>
      </w:r>
      <w:r w:rsidRPr="00213BA3">
        <w:rPr>
          <w:sz w:val="24"/>
          <w:szCs w:val="24"/>
        </w:rPr>
        <w:t xml:space="preserve">edná se </w:t>
      </w:r>
      <w:r>
        <w:rPr>
          <w:sz w:val="24"/>
          <w:szCs w:val="24"/>
        </w:rPr>
        <w:t>o</w:t>
      </w:r>
      <w:r w:rsidRPr="00213BA3">
        <w:rPr>
          <w:sz w:val="24"/>
          <w:szCs w:val="24"/>
        </w:rPr>
        <w:t xml:space="preserve"> </w:t>
      </w:r>
      <w:r>
        <w:rPr>
          <w:sz w:val="24"/>
          <w:szCs w:val="24"/>
        </w:rPr>
        <w:t>6</w:t>
      </w:r>
      <w:r w:rsidRPr="00213BA3">
        <w:rPr>
          <w:sz w:val="24"/>
          <w:szCs w:val="24"/>
        </w:rPr>
        <w:t>,4 % z celkové počtu registrovaných podporovaných zdrojů OZE a tento počet zdrojů čerpal v </w:t>
      </w:r>
      <w:r>
        <w:rPr>
          <w:sz w:val="24"/>
          <w:szCs w:val="24"/>
        </w:rPr>
        <w:t xml:space="preserve">roce 2015 </w:t>
      </w:r>
      <w:r w:rsidRPr="00213BA3">
        <w:rPr>
          <w:sz w:val="24"/>
          <w:szCs w:val="24"/>
        </w:rPr>
        <w:t xml:space="preserve"> </w:t>
      </w:r>
      <w:r w:rsidR="00697DA5">
        <w:rPr>
          <w:sz w:val="24"/>
          <w:szCs w:val="24"/>
        </w:rPr>
        <w:t xml:space="preserve">podporu ve výši </w:t>
      </w:r>
      <w:r>
        <w:rPr>
          <w:sz w:val="24"/>
          <w:szCs w:val="24"/>
        </w:rPr>
        <w:t>84</w:t>
      </w:r>
      <w:r w:rsidRPr="00213BA3">
        <w:rPr>
          <w:sz w:val="24"/>
          <w:szCs w:val="24"/>
        </w:rPr>
        <w:t xml:space="preserve"> % z celkově vyplacené podpory za rok 2015. </w:t>
      </w:r>
    </w:p>
    <w:p w14:paraId="4CBC9CB6" w14:textId="12372D6C" w:rsidR="00296F7A" w:rsidRPr="00213BA3" w:rsidRDefault="00296F7A" w:rsidP="000B4301">
      <w:pPr>
        <w:pStyle w:val="Odstavecseseznamem"/>
        <w:numPr>
          <w:ilvl w:val="0"/>
          <w:numId w:val="26"/>
        </w:numPr>
        <w:tabs>
          <w:tab w:val="left" w:pos="0"/>
        </w:tabs>
        <w:overflowPunct/>
        <w:autoSpaceDE/>
        <w:autoSpaceDN/>
        <w:adjustRightInd/>
        <w:spacing w:before="100" w:beforeAutospacing="1" w:after="100" w:afterAutospacing="1" w:line="276" w:lineRule="auto"/>
        <w:jc w:val="both"/>
        <w:textAlignment w:val="auto"/>
        <w:rPr>
          <w:sz w:val="24"/>
          <w:szCs w:val="24"/>
        </w:rPr>
      </w:pPr>
      <w:r w:rsidRPr="00FD48F4">
        <w:rPr>
          <w:b/>
          <w:sz w:val="24"/>
          <w:szCs w:val="24"/>
        </w:rPr>
        <w:t>počet zdrojů, které čerpal</w:t>
      </w:r>
      <w:r>
        <w:rPr>
          <w:b/>
          <w:sz w:val="24"/>
          <w:szCs w:val="24"/>
        </w:rPr>
        <w:t>y</w:t>
      </w:r>
      <w:r w:rsidRPr="00FD48F4">
        <w:rPr>
          <w:b/>
          <w:sz w:val="24"/>
          <w:szCs w:val="24"/>
        </w:rPr>
        <w:t xml:space="preserve"> pouze podporu elektřiny z OZE s hodnotou nad hranici de minimis je 1</w:t>
      </w:r>
      <w:r w:rsidR="00697DA5">
        <w:rPr>
          <w:b/>
          <w:sz w:val="24"/>
          <w:szCs w:val="24"/>
        </w:rPr>
        <w:t> </w:t>
      </w:r>
      <w:r w:rsidR="0002089B">
        <w:rPr>
          <w:b/>
          <w:sz w:val="24"/>
          <w:szCs w:val="24"/>
        </w:rPr>
        <w:t>028</w:t>
      </w:r>
      <w:r w:rsidR="00697DA5">
        <w:rPr>
          <w:b/>
          <w:sz w:val="24"/>
          <w:szCs w:val="24"/>
        </w:rPr>
        <w:t xml:space="preserve"> a tyto zdroje čerpaly v roce 2015 podporu elektřiny z OZE ve výši 17,29 mld. Kč</w:t>
      </w:r>
      <w:r w:rsidRPr="00FD48F4">
        <w:rPr>
          <w:b/>
          <w:sz w:val="24"/>
          <w:szCs w:val="24"/>
        </w:rPr>
        <w:t>.</w:t>
      </w:r>
      <w:r w:rsidRPr="00EF3A36">
        <w:rPr>
          <w:sz w:val="24"/>
          <w:szCs w:val="24"/>
        </w:rPr>
        <w:t xml:space="preserve"> </w:t>
      </w:r>
      <w:r>
        <w:rPr>
          <w:sz w:val="24"/>
          <w:szCs w:val="24"/>
        </w:rPr>
        <w:t>J</w:t>
      </w:r>
      <w:r w:rsidRPr="00213BA3">
        <w:rPr>
          <w:sz w:val="24"/>
          <w:szCs w:val="24"/>
        </w:rPr>
        <w:t xml:space="preserve">edná se </w:t>
      </w:r>
      <w:r>
        <w:rPr>
          <w:sz w:val="24"/>
          <w:szCs w:val="24"/>
        </w:rPr>
        <w:t>o</w:t>
      </w:r>
      <w:r w:rsidRPr="00213BA3">
        <w:rPr>
          <w:sz w:val="24"/>
          <w:szCs w:val="24"/>
        </w:rPr>
        <w:t xml:space="preserve"> 3,</w:t>
      </w:r>
      <w:r w:rsidR="00697DA5">
        <w:rPr>
          <w:sz w:val="24"/>
          <w:szCs w:val="24"/>
        </w:rPr>
        <w:t>3</w:t>
      </w:r>
      <w:r w:rsidRPr="00213BA3">
        <w:rPr>
          <w:sz w:val="24"/>
          <w:szCs w:val="24"/>
        </w:rPr>
        <w:t xml:space="preserve"> % z celkové počtu registrovaných podporovaných zdrojů OZE a tento počet zdrojů čerpal v roce 2015 </w:t>
      </w:r>
      <w:r w:rsidR="00697DA5">
        <w:rPr>
          <w:sz w:val="24"/>
          <w:szCs w:val="24"/>
        </w:rPr>
        <w:t xml:space="preserve">podporu ve výši </w:t>
      </w:r>
      <w:r w:rsidRPr="00213BA3">
        <w:rPr>
          <w:sz w:val="24"/>
          <w:szCs w:val="24"/>
        </w:rPr>
        <w:t>42</w:t>
      </w:r>
      <w:r w:rsidR="00697DA5">
        <w:rPr>
          <w:sz w:val="24"/>
          <w:szCs w:val="24"/>
        </w:rPr>
        <w:t>,08</w:t>
      </w:r>
      <w:r w:rsidRPr="00213BA3">
        <w:rPr>
          <w:sz w:val="24"/>
          <w:szCs w:val="24"/>
        </w:rPr>
        <w:t xml:space="preserve"> % z celkově vyplacené podpory za rok 2015.  </w:t>
      </w:r>
      <w:r>
        <w:rPr>
          <w:sz w:val="24"/>
          <w:szCs w:val="24"/>
        </w:rPr>
        <w:t xml:space="preserve">Uvedený počet zdrojů bude spadat do mechanismu </w:t>
      </w:r>
      <w:r w:rsidR="00777AA3">
        <w:rPr>
          <w:sz w:val="24"/>
          <w:szCs w:val="24"/>
        </w:rPr>
        <w:t xml:space="preserve">kontroly přiměřenosti podpory </w:t>
      </w:r>
      <w:r>
        <w:rPr>
          <w:sz w:val="24"/>
          <w:szCs w:val="24"/>
        </w:rPr>
        <w:t xml:space="preserve">v linii kontroly </w:t>
      </w:r>
      <w:r w:rsidR="003E0B13">
        <w:rPr>
          <w:sz w:val="24"/>
          <w:szCs w:val="24"/>
        </w:rPr>
        <w:t>reprezentativního</w:t>
      </w:r>
      <w:r>
        <w:rPr>
          <w:sz w:val="24"/>
          <w:szCs w:val="24"/>
        </w:rPr>
        <w:t xml:space="preserve"> vzorku zdrojů.</w:t>
      </w:r>
    </w:p>
    <w:p w14:paraId="7AD4DCF7" w14:textId="77D9B9D8" w:rsidR="00296F7A" w:rsidRDefault="00296F7A" w:rsidP="000B4301">
      <w:pPr>
        <w:pStyle w:val="Odstavecseseznamem"/>
        <w:numPr>
          <w:ilvl w:val="0"/>
          <w:numId w:val="26"/>
        </w:numPr>
        <w:tabs>
          <w:tab w:val="left" w:pos="0"/>
        </w:tabs>
        <w:overflowPunct/>
        <w:autoSpaceDE/>
        <w:autoSpaceDN/>
        <w:adjustRightInd/>
        <w:spacing w:before="100" w:beforeAutospacing="1" w:after="100" w:afterAutospacing="1" w:line="276" w:lineRule="auto"/>
        <w:jc w:val="both"/>
        <w:textAlignment w:val="auto"/>
        <w:rPr>
          <w:sz w:val="24"/>
          <w:szCs w:val="24"/>
        </w:rPr>
      </w:pPr>
      <w:r w:rsidRPr="00FD48F4">
        <w:rPr>
          <w:b/>
          <w:sz w:val="24"/>
          <w:szCs w:val="24"/>
        </w:rPr>
        <w:t xml:space="preserve">počet  zdrojů, které čerpaly podporu elektřiny z OZE a tuto podporu kumulovaly ještě s další podporou s hodnotou celkově čerpané podpory nad hranici de minimis je </w:t>
      </w:r>
      <w:r w:rsidR="00697DA5">
        <w:rPr>
          <w:b/>
          <w:sz w:val="24"/>
          <w:szCs w:val="24"/>
        </w:rPr>
        <w:t>978 a tyto zdroje čerpaly v roce 2015 podporu elektřiny z OZE ve výši 17,22 mld. Kč</w:t>
      </w:r>
      <w:r w:rsidRPr="00FD48F4">
        <w:rPr>
          <w:b/>
          <w:sz w:val="24"/>
          <w:szCs w:val="24"/>
        </w:rPr>
        <w:t>.</w:t>
      </w:r>
      <w:r w:rsidRPr="00EF3A36">
        <w:rPr>
          <w:sz w:val="24"/>
          <w:szCs w:val="24"/>
        </w:rPr>
        <w:t xml:space="preserve"> </w:t>
      </w:r>
      <w:r w:rsidR="00697DA5">
        <w:rPr>
          <w:sz w:val="24"/>
          <w:szCs w:val="24"/>
        </w:rPr>
        <w:t>J</w:t>
      </w:r>
      <w:r w:rsidR="00697DA5" w:rsidRPr="00213BA3">
        <w:rPr>
          <w:sz w:val="24"/>
          <w:szCs w:val="24"/>
        </w:rPr>
        <w:t xml:space="preserve">edná se </w:t>
      </w:r>
      <w:r w:rsidR="00697DA5">
        <w:rPr>
          <w:sz w:val="24"/>
          <w:szCs w:val="24"/>
        </w:rPr>
        <w:t>o</w:t>
      </w:r>
      <w:r w:rsidR="00697DA5" w:rsidRPr="00213BA3">
        <w:rPr>
          <w:sz w:val="24"/>
          <w:szCs w:val="24"/>
        </w:rPr>
        <w:t xml:space="preserve"> 3,</w:t>
      </w:r>
      <w:r w:rsidR="00697DA5">
        <w:rPr>
          <w:sz w:val="24"/>
          <w:szCs w:val="24"/>
        </w:rPr>
        <w:t>15</w:t>
      </w:r>
      <w:r w:rsidR="00697DA5" w:rsidRPr="00213BA3">
        <w:rPr>
          <w:sz w:val="24"/>
          <w:szCs w:val="24"/>
        </w:rPr>
        <w:t xml:space="preserve"> % z celkové počtu registrovaných podporovaných zdrojů OZE a tento počet zdrojů čerpal v roce 2015 </w:t>
      </w:r>
      <w:r w:rsidR="00697DA5">
        <w:rPr>
          <w:sz w:val="24"/>
          <w:szCs w:val="24"/>
        </w:rPr>
        <w:t>podporu ve výši 41,9</w:t>
      </w:r>
      <w:r w:rsidR="00697DA5" w:rsidRPr="00213BA3">
        <w:rPr>
          <w:sz w:val="24"/>
          <w:szCs w:val="24"/>
        </w:rPr>
        <w:t xml:space="preserve"> % z celkově vyplacené podpory za rok 2015.</w:t>
      </w:r>
      <w:r w:rsidR="00697DA5">
        <w:rPr>
          <w:sz w:val="24"/>
          <w:szCs w:val="24"/>
        </w:rPr>
        <w:t xml:space="preserve"> </w:t>
      </w:r>
      <w:r>
        <w:rPr>
          <w:sz w:val="24"/>
          <w:szCs w:val="24"/>
        </w:rPr>
        <w:t xml:space="preserve">Uvedený počet zdrojů bude spadat do mechanismu </w:t>
      </w:r>
      <w:r w:rsidR="00777AA3">
        <w:rPr>
          <w:sz w:val="24"/>
          <w:szCs w:val="24"/>
        </w:rPr>
        <w:t xml:space="preserve">kontroly přiměřenosti podpory </w:t>
      </w:r>
      <w:r>
        <w:rPr>
          <w:sz w:val="24"/>
          <w:szCs w:val="24"/>
        </w:rPr>
        <w:t>v linii individuální kontroly zdrojů.</w:t>
      </w:r>
    </w:p>
    <w:p w14:paraId="3F28BCA1" w14:textId="77777777" w:rsidR="00D06AC6" w:rsidRDefault="00D06AC6" w:rsidP="00D06AC6">
      <w:pPr>
        <w:pStyle w:val="Odstavecseseznamem"/>
        <w:tabs>
          <w:tab w:val="left" w:pos="0"/>
        </w:tabs>
        <w:overflowPunct/>
        <w:autoSpaceDE/>
        <w:autoSpaceDN/>
        <w:adjustRightInd/>
        <w:spacing w:before="100" w:beforeAutospacing="1" w:after="100" w:afterAutospacing="1" w:line="276" w:lineRule="auto"/>
        <w:jc w:val="both"/>
        <w:textAlignment w:val="auto"/>
        <w:rPr>
          <w:sz w:val="24"/>
          <w:szCs w:val="24"/>
        </w:rPr>
      </w:pPr>
    </w:p>
    <w:p w14:paraId="0AD8388B" w14:textId="77777777" w:rsidR="00C07DEA" w:rsidRPr="003A0998" w:rsidRDefault="00C07DEA" w:rsidP="00D06AC6">
      <w:pPr>
        <w:pStyle w:val="Odstavecseseznamem"/>
        <w:tabs>
          <w:tab w:val="left" w:pos="0"/>
        </w:tabs>
        <w:overflowPunct/>
        <w:autoSpaceDE/>
        <w:autoSpaceDN/>
        <w:adjustRightInd/>
        <w:spacing w:before="100" w:beforeAutospacing="1" w:after="100" w:afterAutospacing="1" w:line="276" w:lineRule="auto"/>
        <w:jc w:val="both"/>
        <w:textAlignment w:val="auto"/>
        <w:rPr>
          <w:sz w:val="24"/>
          <w:szCs w:val="24"/>
        </w:rPr>
      </w:pPr>
    </w:p>
    <w:p w14:paraId="0BD9838F" w14:textId="76BB9385" w:rsidR="00F644DC" w:rsidRPr="00F644DC" w:rsidRDefault="00697DA5" w:rsidP="00C07DEA">
      <w:pPr>
        <w:pStyle w:val="Odstavecseseznamem"/>
        <w:numPr>
          <w:ilvl w:val="0"/>
          <w:numId w:val="61"/>
        </w:numPr>
        <w:tabs>
          <w:tab w:val="left" w:pos="6640"/>
        </w:tabs>
        <w:spacing w:after="0" w:line="240" w:lineRule="auto"/>
        <w:jc w:val="both"/>
        <w:rPr>
          <w:b/>
          <w:i/>
          <w:sz w:val="24"/>
          <w:szCs w:val="24"/>
        </w:rPr>
      </w:pPr>
      <w:r w:rsidRPr="00F644DC">
        <w:rPr>
          <w:b/>
          <w:i/>
          <w:sz w:val="24"/>
          <w:szCs w:val="24"/>
        </w:rPr>
        <w:t>Počet zdrojů</w:t>
      </w:r>
      <w:r>
        <w:rPr>
          <w:b/>
          <w:i/>
          <w:sz w:val="24"/>
          <w:szCs w:val="24"/>
        </w:rPr>
        <w:t xml:space="preserve"> a</w:t>
      </w:r>
      <w:r w:rsidRPr="00F644DC">
        <w:rPr>
          <w:b/>
          <w:i/>
          <w:sz w:val="24"/>
          <w:szCs w:val="24"/>
        </w:rPr>
        <w:t xml:space="preserve"> </w:t>
      </w:r>
      <w:r>
        <w:rPr>
          <w:b/>
          <w:i/>
          <w:sz w:val="24"/>
          <w:szCs w:val="24"/>
        </w:rPr>
        <w:t xml:space="preserve">čerpaná </w:t>
      </w:r>
      <w:r w:rsidRPr="00F644DC">
        <w:rPr>
          <w:b/>
          <w:i/>
          <w:sz w:val="24"/>
          <w:szCs w:val="24"/>
        </w:rPr>
        <w:t>podpora elektřiny z</w:t>
      </w:r>
      <w:r>
        <w:rPr>
          <w:b/>
          <w:i/>
          <w:sz w:val="24"/>
          <w:szCs w:val="24"/>
        </w:rPr>
        <w:t> </w:t>
      </w:r>
      <w:r w:rsidRPr="00F644DC">
        <w:rPr>
          <w:b/>
          <w:i/>
          <w:sz w:val="24"/>
          <w:szCs w:val="24"/>
        </w:rPr>
        <w:t>OZE</w:t>
      </w:r>
      <w:r>
        <w:rPr>
          <w:b/>
          <w:i/>
          <w:sz w:val="24"/>
          <w:szCs w:val="24"/>
        </w:rPr>
        <w:t xml:space="preserve"> nad hranicí de minimis při posuzování </w:t>
      </w:r>
      <w:r w:rsidR="00F644DC">
        <w:rPr>
          <w:b/>
          <w:i/>
          <w:sz w:val="24"/>
          <w:szCs w:val="24"/>
        </w:rPr>
        <w:t xml:space="preserve">při </w:t>
      </w:r>
      <w:r w:rsidR="00F5504C">
        <w:rPr>
          <w:b/>
          <w:i/>
          <w:sz w:val="24"/>
          <w:szCs w:val="24"/>
        </w:rPr>
        <w:t xml:space="preserve">podpory za </w:t>
      </w:r>
      <w:r w:rsidR="005B77F2">
        <w:rPr>
          <w:b/>
          <w:i/>
          <w:sz w:val="24"/>
          <w:szCs w:val="24"/>
        </w:rPr>
        <w:t>jeden podnik</w:t>
      </w:r>
    </w:p>
    <w:p w14:paraId="3298C5B0" w14:textId="77777777" w:rsidR="00F644DC" w:rsidRDefault="00F644DC" w:rsidP="00213BA3">
      <w:pPr>
        <w:tabs>
          <w:tab w:val="left" w:pos="6640"/>
        </w:tabs>
        <w:spacing w:after="0" w:line="240" w:lineRule="auto"/>
        <w:jc w:val="both"/>
        <w:rPr>
          <w:sz w:val="24"/>
          <w:szCs w:val="24"/>
        </w:rPr>
      </w:pPr>
    </w:p>
    <w:p w14:paraId="58BD843F" w14:textId="69D63603" w:rsidR="00697DA5" w:rsidRDefault="009D3296" w:rsidP="006A3E80">
      <w:pPr>
        <w:tabs>
          <w:tab w:val="left" w:pos="6640"/>
        </w:tabs>
        <w:spacing w:before="100" w:beforeAutospacing="1" w:after="100" w:afterAutospacing="1" w:line="276" w:lineRule="auto"/>
        <w:jc w:val="both"/>
        <w:rPr>
          <w:sz w:val="24"/>
          <w:szCs w:val="24"/>
        </w:rPr>
      </w:pPr>
      <w:r w:rsidRPr="00A84F1B">
        <w:rPr>
          <w:sz w:val="24"/>
          <w:szCs w:val="24"/>
        </w:rPr>
        <w:t>Celkový počet</w:t>
      </w:r>
      <w:r>
        <w:rPr>
          <w:sz w:val="24"/>
          <w:szCs w:val="24"/>
        </w:rPr>
        <w:t xml:space="preserve"> zdrojů, které budou podléhat mech</w:t>
      </w:r>
      <w:r w:rsidR="00EF3A36">
        <w:rPr>
          <w:sz w:val="24"/>
          <w:szCs w:val="24"/>
        </w:rPr>
        <w:t>a</w:t>
      </w:r>
      <w:r>
        <w:rPr>
          <w:sz w:val="24"/>
          <w:szCs w:val="24"/>
        </w:rPr>
        <w:t>nismu</w:t>
      </w:r>
      <w:r w:rsidR="00777AA3">
        <w:rPr>
          <w:sz w:val="24"/>
          <w:szCs w:val="24"/>
        </w:rPr>
        <w:t xml:space="preserve"> kontroly přiměřenosti podpory</w:t>
      </w:r>
      <w:r>
        <w:rPr>
          <w:sz w:val="24"/>
          <w:szCs w:val="24"/>
        </w:rPr>
        <w:t xml:space="preserve">, kdy pro „vstup“ zdroje do tohoto mechanismu je rozhodující, zda čerpaná podpora pro každý konkrétní zdroj je nebo není nad hranicí de minimis, je potřeba upravit ještě ve vztahu na celkově čerpanou podporu za </w:t>
      </w:r>
      <w:r w:rsidR="00C1588B">
        <w:rPr>
          <w:sz w:val="24"/>
          <w:szCs w:val="24"/>
        </w:rPr>
        <w:t>a jeden podnik</w:t>
      </w:r>
      <w:r w:rsidR="00C1588B">
        <w:rPr>
          <w:rStyle w:val="Znakapoznpodarou"/>
          <w:sz w:val="24"/>
          <w:szCs w:val="24"/>
        </w:rPr>
        <w:footnoteReference w:id="9"/>
      </w:r>
      <w:r>
        <w:rPr>
          <w:sz w:val="24"/>
          <w:szCs w:val="24"/>
        </w:rPr>
        <w:t>, kde je rozhodující, zda celkově čerpaná podpora (a to souhrn</w:t>
      </w:r>
      <w:r w:rsidR="003E0B13">
        <w:rPr>
          <w:sz w:val="24"/>
          <w:szCs w:val="24"/>
        </w:rPr>
        <w:t>n</w:t>
      </w:r>
      <w:r>
        <w:rPr>
          <w:sz w:val="24"/>
          <w:szCs w:val="24"/>
        </w:rPr>
        <w:t xml:space="preserve">ě za všechny podpory) jedním </w:t>
      </w:r>
      <w:r w:rsidR="005B77F2">
        <w:rPr>
          <w:sz w:val="24"/>
          <w:szCs w:val="24"/>
        </w:rPr>
        <w:t>podnikem</w:t>
      </w:r>
      <w:r>
        <w:rPr>
          <w:sz w:val="24"/>
          <w:szCs w:val="24"/>
        </w:rPr>
        <w:t xml:space="preserve">, který je složený z jednoho nebo </w:t>
      </w:r>
      <w:r w:rsidR="00EF3A36">
        <w:rPr>
          <w:sz w:val="24"/>
          <w:szCs w:val="24"/>
        </w:rPr>
        <w:t xml:space="preserve">také </w:t>
      </w:r>
      <w:r>
        <w:rPr>
          <w:sz w:val="24"/>
          <w:szCs w:val="24"/>
        </w:rPr>
        <w:t xml:space="preserve">i více zdrojů, je nebo není </w:t>
      </w:r>
      <w:r w:rsidR="00F5504C">
        <w:rPr>
          <w:sz w:val="24"/>
          <w:szCs w:val="24"/>
        </w:rPr>
        <w:t xml:space="preserve">výše kumulované čerpané podpory </w:t>
      </w:r>
      <w:r>
        <w:rPr>
          <w:sz w:val="24"/>
          <w:szCs w:val="24"/>
        </w:rPr>
        <w:t xml:space="preserve">za období 2013-2015 nad hranici de minimis. </w:t>
      </w:r>
    </w:p>
    <w:p w14:paraId="29E4C861" w14:textId="7A34CD0A" w:rsidR="009D3296" w:rsidRDefault="00F5504C" w:rsidP="006A3E80">
      <w:pPr>
        <w:tabs>
          <w:tab w:val="left" w:pos="6640"/>
        </w:tabs>
        <w:spacing w:before="100" w:beforeAutospacing="1" w:after="100" w:afterAutospacing="1" w:line="276" w:lineRule="auto"/>
        <w:jc w:val="both"/>
        <w:rPr>
          <w:sz w:val="24"/>
          <w:szCs w:val="24"/>
        </w:rPr>
      </w:pPr>
      <w:r>
        <w:rPr>
          <w:sz w:val="24"/>
          <w:szCs w:val="24"/>
        </w:rPr>
        <w:t>T</w:t>
      </w:r>
      <w:r w:rsidR="009D3296">
        <w:rPr>
          <w:sz w:val="24"/>
          <w:szCs w:val="24"/>
        </w:rPr>
        <w:t>edy je třeba identifikovat také zdroje, které samostatně nepřekračují s čerpanou podporou hodnotu de minimis, ale jelikož tento zdroj je součástí souboru zdrojů provozovaných jedním podnik</w:t>
      </w:r>
      <w:r w:rsidR="005B77F2">
        <w:rPr>
          <w:sz w:val="24"/>
          <w:szCs w:val="24"/>
        </w:rPr>
        <w:t>em</w:t>
      </w:r>
      <w:r w:rsidR="009D3296">
        <w:rPr>
          <w:sz w:val="24"/>
          <w:szCs w:val="24"/>
        </w:rPr>
        <w:t>, pak i tento zdroj by spadal do souboru zdrojů, které budou podléhat mechanismu</w:t>
      </w:r>
      <w:r w:rsidR="00803792">
        <w:rPr>
          <w:sz w:val="24"/>
          <w:szCs w:val="24"/>
        </w:rPr>
        <w:t xml:space="preserve"> </w:t>
      </w:r>
      <w:r w:rsidR="00777AA3">
        <w:rPr>
          <w:sz w:val="24"/>
          <w:szCs w:val="24"/>
        </w:rPr>
        <w:t xml:space="preserve">kontroly přiměřenosti podpory </w:t>
      </w:r>
      <w:r w:rsidR="00803792">
        <w:rPr>
          <w:sz w:val="24"/>
          <w:szCs w:val="24"/>
        </w:rPr>
        <w:t xml:space="preserve">(postup vymezení „jednoho podniku“ pro účely podpory de minimis je uveden na adrese: </w:t>
      </w:r>
      <w:hyperlink r:id="rId16" w:history="1">
        <w:r w:rsidR="00803792" w:rsidRPr="009B5EBB">
          <w:rPr>
            <w:rStyle w:val="Hypertextovodkaz"/>
          </w:rPr>
          <w:t>http://www.uohs.cz/download/Sekce_VP/VP_update/Prirucka-k-</w:t>
        </w:r>
        <w:r w:rsidR="00803792" w:rsidRPr="009B5EBB">
          <w:rPr>
            <w:rStyle w:val="Hypertextovodkaz"/>
          </w:rPr>
          <w:lastRenderedPageBreak/>
          <w:t>pojmu-jeden-podnik_rev-4-12-2014.pdf</w:t>
        </w:r>
      </w:hyperlink>
      <w:r w:rsidR="00803792">
        <w:rPr>
          <w:rStyle w:val="Hypertextovodkaz"/>
        </w:rPr>
        <w:t>)</w:t>
      </w:r>
      <w:r w:rsidR="009D3296">
        <w:rPr>
          <w:sz w:val="24"/>
          <w:szCs w:val="24"/>
        </w:rPr>
        <w:t>. Pokud tento zdroj nekumuloval podporu elektřiny z OZE s jinou podporo</w:t>
      </w:r>
      <w:r w:rsidR="00EF3A36">
        <w:rPr>
          <w:sz w:val="24"/>
          <w:szCs w:val="24"/>
        </w:rPr>
        <w:t>u</w:t>
      </w:r>
      <w:r w:rsidR="009D3296">
        <w:rPr>
          <w:sz w:val="24"/>
          <w:szCs w:val="24"/>
        </w:rPr>
        <w:t>, pak tento zdroj bude zařazen v kontrolním mech</w:t>
      </w:r>
      <w:r w:rsidR="003E0B13">
        <w:rPr>
          <w:sz w:val="24"/>
          <w:szCs w:val="24"/>
        </w:rPr>
        <w:t>a</w:t>
      </w:r>
      <w:r w:rsidR="009D3296">
        <w:rPr>
          <w:sz w:val="24"/>
          <w:szCs w:val="24"/>
        </w:rPr>
        <w:t>nismu do souboru zdrojů, kde bude probíhat kontrola reprezentativního vzorku, pokud tento zdroj kumuloval s podporou elektřiny z OZE ještě další podporu, pak bude tento zdroj zařazen v kontrolním mechnismu do souboru zdrojů, kde bude probíhat individuální kontrola jednotlivých zdrojů.</w:t>
      </w:r>
    </w:p>
    <w:p w14:paraId="08D8719F" w14:textId="59E3109E" w:rsidR="007A5A4B" w:rsidRPr="00A75238" w:rsidRDefault="007A5A4B" w:rsidP="00213BA3">
      <w:pPr>
        <w:tabs>
          <w:tab w:val="left" w:pos="6640"/>
        </w:tabs>
        <w:spacing w:after="0" w:line="240" w:lineRule="auto"/>
        <w:jc w:val="both"/>
        <w:rPr>
          <w:sz w:val="24"/>
          <w:szCs w:val="24"/>
          <w:u w:val="single"/>
        </w:rPr>
      </w:pPr>
      <w:r w:rsidRPr="00A75238">
        <w:rPr>
          <w:sz w:val="24"/>
          <w:szCs w:val="24"/>
          <w:u w:val="single"/>
        </w:rPr>
        <w:t xml:space="preserve">V systému OTE byly v této souvislosti </w:t>
      </w:r>
      <w:r w:rsidR="003E0B13" w:rsidRPr="00A75238">
        <w:rPr>
          <w:sz w:val="24"/>
          <w:szCs w:val="24"/>
          <w:u w:val="single"/>
        </w:rPr>
        <w:t>identifikovány</w:t>
      </w:r>
      <w:r w:rsidRPr="00A75238">
        <w:rPr>
          <w:sz w:val="24"/>
          <w:szCs w:val="24"/>
          <w:u w:val="single"/>
        </w:rPr>
        <w:t xml:space="preserve"> následující data: </w:t>
      </w:r>
    </w:p>
    <w:p w14:paraId="71F9005A" w14:textId="6AAB97BA" w:rsidR="007A5A4B" w:rsidRPr="004713EF" w:rsidRDefault="007A5A4B" w:rsidP="000B4301">
      <w:pPr>
        <w:pStyle w:val="Odstavecseseznamem"/>
        <w:numPr>
          <w:ilvl w:val="0"/>
          <w:numId w:val="22"/>
        </w:numPr>
        <w:tabs>
          <w:tab w:val="left" w:pos="6640"/>
        </w:tabs>
        <w:spacing w:before="100" w:beforeAutospacing="1" w:after="100" w:afterAutospacing="1" w:line="276" w:lineRule="auto"/>
        <w:jc w:val="both"/>
        <w:rPr>
          <w:sz w:val="24"/>
          <w:szCs w:val="24"/>
        </w:rPr>
      </w:pPr>
      <w:r>
        <w:rPr>
          <w:sz w:val="24"/>
          <w:szCs w:val="24"/>
        </w:rPr>
        <w:t xml:space="preserve">existuje </w:t>
      </w:r>
      <w:r w:rsidR="00890251" w:rsidRPr="004713EF">
        <w:rPr>
          <w:b/>
          <w:sz w:val="24"/>
          <w:szCs w:val="24"/>
        </w:rPr>
        <w:t>907</w:t>
      </w:r>
      <w:r w:rsidRPr="004713EF">
        <w:rPr>
          <w:b/>
          <w:sz w:val="24"/>
          <w:szCs w:val="24"/>
        </w:rPr>
        <w:t xml:space="preserve"> zdrojů</w:t>
      </w:r>
      <w:r>
        <w:rPr>
          <w:sz w:val="24"/>
          <w:szCs w:val="24"/>
        </w:rPr>
        <w:t xml:space="preserve">, které </w:t>
      </w:r>
      <w:r w:rsidR="00890251">
        <w:rPr>
          <w:sz w:val="24"/>
          <w:szCs w:val="24"/>
        </w:rPr>
        <w:t>čerpal</w:t>
      </w:r>
      <w:r w:rsidR="00EF3A36">
        <w:rPr>
          <w:sz w:val="24"/>
          <w:szCs w:val="24"/>
        </w:rPr>
        <w:t>y</w:t>
      </w:r>
      <w:r w:rsidR="00890251">
        <w:rPr>
          <w:sz w:val="24"/>
          <w:szCs w:val="24"/>
        </w:rPr>
        <w:t xml:space="preserve"> podporu pod hranicí de minimis, avšak tyto zdroje </w:t>
      </w:r>
      <w:r>
        <w:rPr>
          <w:sz w:val="24"/>
          <w:szCs w:val="24"/>
        </w:rPr>
        <w:t xml:space="preserve">jsou </w:t>
      </w:r>
      <w:r w:rsidR="00890251">
        <w:rPr>
          <w:sz w:val="24"/>
          <w:szCs w:val="24"/>
        </w:rPr>
        <w:t>součástí skupiny zdrojů OZE provozova</w:t>
      </w:r>
      <w:r>
        <w:rPr>
          <w:sz w:val="24"/>
          <w:szCs w:val="24"/>
        </w:rPr>
        <w:t>n</w:t>
      </w:r>
      <w:r w:rsidR="00890251">
        <w:rPr>
          <w:sz w:val="24"/>
          <w:szCs w:val="24"/>
        </w:rPr>
        <w:t>ých jedním</w:t>
      </w:r>
      <w:r>
        <w:rPr>
          <w:sz w:val="24"/>
          <w:szCs w:val="24"/>
        </w:rPr>
        <w:t xml:space="preserve"> výrobcem elektřiny</w:t>
      </w:r>
      <w:r w:rsidR="00890251">
        <w:rPr>
          <w:sz w:val="24"/>
          <w:szCs w:val="24"/>
        </w:rPr>
        <w:t xml:space="preserve">, který provozuje v rámci zmíněného souboru ještě další výrobny elektřiny z OZE, kde minimálně jedna výrobna elektřiny z tohoto souboru překračuje hodnotu čerpané podpory nad de minimis. </w:t>
      </w:r>
      <w:r>
        <w:rPr>
          <w:sz w:val="24"/>
          <w:szCs w:val="24"/>
        </w:rPr>
        <w:t xml:space="preserve"> </w:t>
      </w:r>
      <w:r w:rsidR="00697DA5">
        <w:rPr>
          <w:sz w:val="24"/>
          <w:szCs w:val="24"/>
        </w:rPr>
        <w:t>Tyto zd</w:t>
      </w:r>
      <w:r w:rsidR="007F7648">
        <w:rPr>
          <w:sz w:val="24"/>
          <w:szCs w:val="24"/>
        </w:rPr>
        <w:t>r</w:t>
      </w:r>
      <w:r w:rsidR="00697DA5">
        <w:rPr>
          <w:sz w:val="24"/>
          <w:szCs w:val="24"/>
        </w:rPr>
        <w:t>oje (</w:t>
      </w:r>
      <w:r w:rsidR="00890251">
        <w:rPr>
          <w:sz w:val="24"/>
          <w:szCs w:val="24"/>
        </w:rPr>
        <w:t>907 zdrojů</w:t>
      </w:r>
      <w:r w:rsidR="00697DA5">
        <w:rPr>
          <w:sz w:val="24"/>
          <w:szCs w:val="24"/>
        </w:rPr>
        <w:t>)</w:t>
      </w:r>
      <w:r w:rsidR="00890251">
        <w:rPr>
          <w:sz w:val="24"/>
          <w:szCs w:val="24"/>
        </w:rPr>
        <w:t xml:space="preserve"> čerpal</w:t>
      </w:r>
      <w:r w:rsidR="004541CB">
        <w:rPr>
          <w:sz w:val="24"/>
          <w:szCs w:val="24"/>
        </w:rPr>
        <w:t>y</w:t>
      </w:r>
      <w:r w:rsidR="00890251">
        <w:rPr>
          <w:sz w:val="24"/>
          <w:szCs w:val="24"/>
        </w:rPr>
        <w:t xml:space="preserve"> v roce 2015 podporu elektřiny z OZE ve výši 1,321 mld. Kč</w:t>
      </w:r>
      <w:r w:rsidR="004541CB">
        <w:rPr>
          <w:sz w:val="24"/>
          <w:szCs w:val="24"/>
        </w:rPr>
        <w:t xml:space="preserve"> a </w:t>
      </w:r>
      <w:r w:rsidR="00890251">
        <w:rPr>
          <w:sz w:val="24"/>
          <w:szCs w:val="24"/>
        </w:rPr>
        <w:t xml:space="preserve">286 zdrojů </w:t>
      </w:r>
      <w:r w:rsidR="004541CB">
        <w:rPr>
          <w:sz w:val="24"/>
          <w:szCs w:val="24"/>
        </w:rPr>
        <w:t xml:space="preserve">z tohoto počtu čerpalo </w:t>
      </w:r>
      <w:r w:rsidR="00890251">
        <w:rPr>
          <w:sz w:val="24"/>
          <w:szCs w:val="24"/>
        </w:rPr>
        <w:t>pouze podporu elektřiny z</w:t>
      </w:r>
      <w:r w:rsidR="004541CB">
        <w:rPr>
          <w:sz w:val="24"/>
          <w:szCs w:val="24"/>
        </w:rPr>
        <w:t> </w:t>
      </w:r>
      <w:r w:rsidR="00890251">
        <w:rPr>
          <w:sz w:val="24"/>
          <w:szCs w:val="24"/>
        </w:rPr>
        <w:t>OZE</w:t>
      </w:r>
      <w:r w:rsidR="00890251" w:rsidRPr="004713EF">
        <w:rPr>
          <w:sz w:val="24"/>
          <w:szCs w:val="24"/>
        </w:rPr>
        <w:t>.</w:t>
      </w:r>
      <w:r w:rsidR="004D289D" w:rsidRPr="004713EF">
        <w:rPr>
          <w:sz w:val="24"/>
          <w:szCs w:val="24"/>
        </w:rPr>
        <w:t xml:space="preserve"> </w:t>
      </w:r>
    </w:p>
    <w:p w14:paraId="4620ABC9" w14:textId="77777777" w:rsidR="00697DA5" w:rsidRDefault="00697DA5" w:rsidP="006A3E80">
      <w:pPr>
        <w:pStyle w:val="Odstavecseseznamem"/>
        <w:tabs>
          <w:tab w:val="left" w:pos="6640"/>
        </w:tabs>
        <w:spacing w:before="100" w:beforeAutospacing="1" w:after="100" w:afterAutospacing="1" w:line="276" w:lineRule="auto"/>
        <w:jc w:val="both"/>
        <w:rPr>
          <w:sz w:val="24"/>
          <w:szCs w:val="24"/>
        </w:rPr>
      </w:pPr>
    </w:p>
    <w:p w14:paraId="788F764D" w14:textId="750784BD" w:rsidR="00E35AFD" w:rsidRDefault="00890251" w:rsidP="000B4301">
      <w:pPr>
        <w:pStyle w:val="Odstavecseseznamem"/>
        <w:numPr>
          <w:ilvl w:val="0"/>
          <w:numId w:val="22"/>
        </w:numPr>
        <w:tabs>
          <w:tab w:val="left" w:pos="720"/>
          <w:tab w:val="left" w:pos="6640"/>
        </w:tabs>
        <w:spacing w:before="100" w:beforeAutospacing="1" w:after="100" w:afterAutospacing="1" w:line="276" w:lineRule="auto"/>
        <w:jc w:val="both"/>
        <w:rPr>
          <w:sz w:val="24"/>
          <w:szCs w:val="24"/>
        </w:rPr>
      </w:pPr>
      <w:r w:rsidRPr="004541CB">
        <w:rPr>
          <w:sz w:val="24"/>
          <w:szCs w:val="24"/>
        </w:rPr>
        <w:t xml:space="preserve">existuje </w:t>
      </w:r>
      <w:r w:rsidRPr="004713EF">
        <w:rPr>
          <w:b/>
          <w:sz w:val="24"/>
          <w:szCs w:val="24"/>
        </w:rPr>
        <w:t>436 zdrojů</w:t>
      </w:r>
      <w:r w:rsidRPr="004541CB">
        <w:rPr>
          <w:sz w:val="24"/>
          <w:szCs w:val="24"/>
        </w:rPr>
        <w:t>, které čerpal</w:t>
      </w:r>
      <w:r w:rsidR="00EF3A36" w:rsidRPr="004541CB">
        <w:rPr>
          <w:sz w:val="24"/>
          <w:szCs w:val="24"/>
        </w:rPr>
        <w:t>y</w:t>
      </w:r>
      <w:r w:rsidRPr="004541CB">
        <w:rPr>
          <w:sz w:val="24"/>
          <w:szCs w:val="24"/>
        </w:rPr>
        <w:t xml:space="preserve"> podporu pod hranicí de minimis, avšak tyto zdroje jsou součástí skupiny zdrojů provozovaných jedním výrobcem elektřiny, který </w:t>
      </w:r>
      <w:r w:rsidR="003F0070">
        <w:rPr>
          <w:sz w:val="24"/>
          <w:szCs w:val="24"/>
        </w:rPr>
        <w:t xml:space="preserve">                                                                                                                                                                                                                                                                                                                                                                                                                                                                                                                                                                                                                                                                                                                                                                                                                                                                                                                                                                                                                                                          </w:t>
      </w:r>
      <w:r w:rsidRPr="004541CB">
        <w:rPr>
          <w:sz w:val="24"/>
          <w:szCs w:val="24"/>
        </w:rPr>
        <w:t xml:space="preserve">provozuje v rámci zmíněného souboru ještě další výrobny elektřiny, </w:t>
      </w:r>
      <w:r w:rsidR="00A84F1B" w:rsidRPr="00ED1764">
        <w:rPr>
          <w:sz w:val="24"/>
          <w:szCs w:val="24"/>
        </w:rPr>
        <w:t xml:space="preserve">kdy všechny tyto zdroje z tohoto souboru zdrojů provozovaných jedním výrobcem elektřiny v součtu čerpaly podporu nad de minimis. </w:t>
      </w:r>
      <w:r w:rsidR="004541CB" w:rsidRPr="008A7B66">
        <w:rPr>
          <w:sz w:val="24"/>
          <w:szCs w:val="24"/>
        </w:rPr>
        <w:t>Tyto zdroje (</w:t>
      </w:r>
      <w:r w:rsidR="00A84F1B" w:rsidRPr="008A7B66">
        <w:rPr>
          <w:sz w:val="24"/>
          <w:szCs w:val="24"/>
        </w:rPr>
        <w:t>436 zdrojů</w:t>
      </w:r>
      <w:r w:rsidR="004541CB" w:rsidRPr="008A7B66">
        <w:rPr>
          <w:sz w:val="24"/>
          <w:szCs w:val="24"/>
        </w:rPr>
        <w:t>)</w:t>
      </w:r>
      <w:r w:rsidR="00A84F1B" w:rsidRPr="008A7B66">
        <w:rPr>
          <w:sz w:val="24"/>
          <w:szCs w:val="24"/>
        </w:rPr>
        <w:t xml:space="preserve">, </w:t>
      </w:r>
      <w:r w:rsidR="004541CB" w:rsidRPr="002A6587">
        <w:rPr>
          <w:sz w:val="24"/>
          <w:szCs w:val="24"/>
        </w:rPr>
        <w:t xml:space="preserve">čerpaly </w:t>
      </w:r>
      <w:r w:rsidR="00A84F1B" w:rsidRPr="002A6587">
        <w:rPr>
          <w:sz w:val="24"/>
          <w:szCs w:val="24"/>
        </w:rPr>
        <w:t>v roce 2015 podporu elektřiny z OZE ve výši 0,824 mld. Kč</w:t>
      </w:r>
      <w:r w:rsidR="004541CB" w:rsidRPr="002A6587">
        <w:rPr>
          <w:sz w:val="24"/>
          <w:szCs w:val="24"/>
        </w:rPr>
        <w:t xml:space="preserve"> a </w:t>
      </w:r>
      <w:r w:rsidR="00E35AFD" w:rsidRPr="00DC5282">
        <w:rPr>
          <w:sz w:val="24"/>
          <w:szCs w:val="24"/>
        </w:rPr>
        <w:t xml:space="preserve">174 zdrojů </w:t>
      </w:r>
      <w:r w:rsidR="004541CB">
        <w:rPr>
          <w:sz w:val="24"/>
          <w:szCs w:val="24"/>
        </w:rPr>
        <w:t xml:space="preserve">z tohoto počtu </w:t>
      </w:r>
      <w:r w:rsidR="00E35AFD" w:rsidRPr="004541CB">
        <w:rPr>
          <w:sz w:val="24"/>
          <w:szCs w:val="24"/>
        </w:rPr>
        <w:t>čerpalo pouze podporu elektřiny z</w:t>
      </w:r>
      <w:r w:rsidR="004541CB">
        <w:rPr>
          <w:sz w:val="24"/>
          <w:szCs w:val="24"/>
        </w:rPr>
        <w:t> </w:t>
      </w:r>
      <w:r w:rsidR="00E35AFD" w:rsidRPr="004541CB">
        <w:rPr>
          <w:sz w:val="24"/>
          <w:szCs w:val="24"/>
        </w:rPr>
        <w:t>OZE</w:t>
      </w:r>
      <w:r w:rsidR="00E35AFD">
        <w:rPr>
          <w:sz w:val="24"/>
          <w:szCs w:val="24"/>
        </w:rPr>
        <w:t>.</w:t>
      </w:r>
    </w:p>
    <w:p w14:paraId="331BE507" w14:textId="77015D14" w:rsidR="00A84F1B" w:rsidRDefault="00A84F1B" w:rsidP="006A3E80">
      <w:pPr>
        <w:tabs>
          <w:tab w:val="left" w:pos="6640"/>
        </w:tabs>
        <w:spacing w:before="100" w:beforeAutospacing="1" w:after="100" w:afterAutospacing="1" w:line="276" w:lineRule="auto"/>
        <w:jc w:val="both"/>
        <w:rPr>
          <w:sz w:val="24"/>
          <w:szCs w:val="24"/>
        </w:rPr>
      </w:pPr>
      <w:r w:rsidRPr="00A84F1B">
        <w:rPr>
          <w:sz w:val="24"/>
          <w:szCs w:val="24"/>
        </w:rPr>
        <w:t xml:space="preserve">Tedy </w:t>
      </w:r>
      <w:r w:rsidRPr="00FD48F4">
        <w:rPr>
          <w:b/>
          <w:sz w:val="24"/>
          <w:szCs w:val="24"/>
        </w:rPr>
        <w:t>do mech</w:t>
      </w:r>
      <w:r w:rsidR="00EF3A36" w:rsidRPr="00FD48F4">
        <w:rPr>
          <w:b/>
          <w:sz w:val="24"/>
          <w:szCs w:val="24"/>
        </w:rPr>
        <w:t>a</w:t>
      </w:r>
      <w:r w:rsidRPr="00FD48F4">
        <w:rPr>
          <w:b/>
          <w:sz w:val="24"/>
          <w:szCs w:val="24"/>
        </w:rPr>
        <w:t xml:space="preserve">nismu </w:t>
      </w:r>
      <w:r w:rsidR="00777AA3">
        <w:rPr>
          <w:b/>
          <w:sz w:val="24"/>
          <w:szCs w:val="24"/>
        </w:rPr>
        <w:t xml:space="preserve">kontroly přiměřenosti podpory </w:t>
      </w:r>
      <w:r w:rsidR="004541CB">
        <w:rPr>
          <w:b/>
          <w:sz w:val="24"/>
          <w:szCs w:val="24"/>
        </w:rPr>
        <w:t xml:space="preserve">k rozsahu (počtu zdrojů a čerpané podpoře) uvedené v bodě b) je třeba připočítat ještě </w:t>
      </w:r>
      <w:r w:rsidR="00450492" w:rsidRPr="00FD48F4">
        <w:rPr>
          <w:b/>
          <w:sz w:val="24"/>
          <w:szCs w:val="24"/>
        </w:rPr>
        <w:t>1 343 zdrojů, které v roce 2015 čerpal</w:t>
      </w:r>
      <w:r w:rsidR="00EF3A36" w:rsidRPr="00FD48F4">
        <w:rPr>
          <w:b/>
          <w:sz w:val="24"/>
          <w:szCs w:val="24"/>
        </w:rPr>
        <w:t>y</w:t>
      </w:r>
      <w:r w:rsidR="00450492" w:rsidRPr="00FD48F4">
        <w:rPr>
          <w:b/>
          <w:sz w:val="24"/>
          <w:szCs w:val="24"/>
        </w:rPr>
        <w:t xml:space="preserve"> podporu </w:t>
      </w:r>
      <w:r w:rsidR="00450492">
        <w:rPr>
          <w:sz w:val="24"/>
          <w:szCs w:val="24"/>
        </w:rPr>
        <w:t xml:space="preserve">(pod hranicí de minimis) </w:t>
      </w:r>
      <w:r w:rsidR="00450492" w:rsidRPr="00FD48F4">
        <w:rPr>
          <w:b/>
          <w:sz w:val="24"/>
          <w:szCs w:val="24"/>
        </w:rPr>
        <w:t>v hodnotě 2,145 mld. Kč</w:t>
      </w:r>
      <w:r w:rsidR="00450492">
        <w:rPr>
          <w:sz w:val="24"/>
          <w:szCs w:val="24"/>
        </w:rPr>
        <w:t>.</w:t>
      </w:r>
      <w:r w:rsidR="00F5504C">
        <w:rPr>
          <w:sz w:val="24"/>
          <w:szCs w:val="24"/>
        </w:rPr>
        <w:t xml:space="preserve"> Z uvedených 1 343 zdrojů, bude </w:t>
      </w:r>
      <w:r w:rsidR="00E35AFD">
        <w:rPr>
          <w:sz w:val="24"/>
          <w:szCs w:val="24"/>
        </w:rPr>
        <w:t xml:space="preserve">460 </w:t>
      </w:r>
      <w:r w:rsidR="00F5504C">
        <w:rPr>
          <w:sz w:val="24"/>
          <w:szCs w:val="24"/>
        </w:rPr>
        <w:t xml:space="preserve">zdrojů spadat do mechanismu </w:t>
      </w:r>
      <w:r w:rsidR="00777AA3">
        <w:rPr>
          <w:sz w:val="24"/>
          <w:szCs w:val="24"/>
        </w:rPr>
        <w:t xml:space="preserve">kontroly přiměřenosti podpory </w:t>
      </w:r>
      <w:r w:rsidR="00F5504C">
        <w:rPr>
          <w:sz w:val="24"/>
          <w:szCs w:val="24"/>
        </w:rPr>
        <w:t xml:space="preserve">v linii kontroly </w:t>
      </w:r>
      <w:r w:rsidR="007F7648">
        <w:rPr>
          <w:sz w:val="24"/>
          <w:szCs w:val="24"/>
        </w:rPr>
        <w:t>reprezentativního</w:t>
      </w:r>
      <w:r w:rsidR="00F5504C">
        <w:rPr>
          <w:sz w:val="24"/>
          <w:szCs w:val="24"/>
        </w:rPr>
        <w:t xml:space="preserve"> vzorku zdrojů, jelikož čerpal</w:t>
      </w:r>
      <w:r w:rsidR="00EF3A36">
        <w:rPr>
          <w:sz w:val="24"/>
          <w:szCs w:val="24"/>
        </w:rPr>
        <w:t>y</w:t>
      </w:r>
      <w:r w:rsidR="00F5504C">
        <w:rPr>
          <w:sz w:val="24"/>
          <w:szCs w:val="24"/>
        </w:rPr>
        <w:t xml:space="preserve"> pouze podporu elektřiny z OZE a </w:t>
      </w:r>
      <w:r w:rsidR="00E35AFD">
        <w:rPr>
          <w:sz w:val="24"/>
          <w:szCs w:val="24"/>
        </w:rPr>
        <w:t>883</w:t>
      </w:r>
      <w:r w:rsidR="00F5504C">
        <w:rPr>
          <w:sz w:val="24"/>
          <w:szCs w:val="24"/>
        </w:rPr>
        <w:t xml:space="preserve"> zdrojů bude spadat do mechanismu </w:t>
      </w:r>
      <w:r w:rsidR="00777AA3">
        <w:rPr>
          <w:sz w:val="24"/>
          <w:szCs w:val="24"/>
        </w:rPr>
        <w:t xml:space="preserve">kontroly přiměřenosti podpory </w:t>
      </w:r>
      <w:r w:rsidR="00F5504C">
        <w:rPr>
          <w:sz w:val="24"/>
          <w:szCs w:val="24"/>
        </w:rPr>
        <w:t>v linii individuální kontroly zdrojů, jelikož čerpal</w:t>
      </w:r>
      <w:r w:rsidR="00EF3A36">
        <w:rPr>
          <w:sz w:val="24"/>
          <w:szCs w:val="24"/>
        </w:rPr>
        <w:t xml:space="preserve">y </w:t>
      </w:r>
      <w:r w:rsidR="00F5504C">
        <w:rPr>
          <w:sz w:val="24"/>
          <w:szCs w:val="24"/>
        </w:rPr>
        <w:t>kromě podpory elektřiny z OZE ještě další druhy podpor.</w:t>
      </w:r>
    </w:p>
    <w:p w14:paraId="70387E2B" w14:textId="087C896F" w:rsidR="00ED1764" w:rsidRDefault="006B2D5D" w:rsidP="006A3E80">
      <w:pPr>
        <w:tabs>
          <w:tab w:val="left" w:pos="0"/>
        </w:tabs>
        <w:overflowPunct/>
        <w:autoSpaceDE/>
        <w:autoSpaceDN/>
        <w:adjustRightInd/>
        <w:spacing w:before="100" w:beforeAutospacing="1" w:after="100" w:afterAutospacing="1" w:line="276" w:lineRule="auto"/>
        <w:jc w:val="both"/>
        <w:textAlignment w:val="auto"/>
        <w:rPr>
          <w:sz w:val="24"/>
          <w:szCs w:val="24"/>
        </w:rPr>
      </w:pPr>
      <w:r w:rsidRPr="004713EF">
        <w:rPr>
          <w:b/>
          <w:sz w:val="24"/>
          <w:szCs w:val="24"/>
        </w:rPr>
        <w:t>Celkový počet  zdrojů, které spad</w:t>
      </w:r>
      <w:r w:rsidR="00043C77">
        <w:rPr>
          <w:b/>
          <w:sz w:val="24"/>
          <w:szCs w:val="24"/>
        </w:rPr>
        <w:t>a</w:t>
      </w:r>
      <w:r w:rsidRPr="004713EF">
        <w:rPr>
          <w:b/>
          <w:sz w:val="24"/>
          <w:szCs w:val="24"/>
        </w:rPr>
        <w:t xml:space="preserve">jí pod rozhodnutí </w:t>
      </w:r>
      <w:r w:rsidR="00BD4871">
        <w:rPr>
          <w:b/>
          <w:sz w:val="24"/>
          <w:szCs w:val="24"/>
        </w:rPr>
        <w:t xml:space="preserve">Evropské komise </w:t>
      </w:r>
      <w:r w:rsidRPr="004713EF">
        <w:rPr>
          <w:b/>
          <w:sz w:val="24"/>
          <w:szCs w:val="24"/>
        </w:rPr>
        <w:t>SA. 35177 a SA. 40171</w:t>
      </w:r>
      <w:r w:rsidR="00043C77" w:rsidRPr="00043C77">
        <w:rPr>
          <w:b/>
          <w:sz w:val="24"/>
          <w:szCs w:val="24"/>
        </w:rPr>
        <w:t xml:space="preserve"> na které by se měl</w:t>
      </w:r>
      <w:r w:rsidRPr="004713EF">
        <w:rPr>
          <w:b/>
          <w:sz w:val="24"/>
          <w:szCs w:val="24"/>
        </w:rPr>
        <w:t xml:space="preserve"> vztahovat mechanismus </w:t>
      </w:r>
      <w:r w:rsidR="00777AA3">
        <w:rPr>
          <w:b/>
          <w:sz w:val="24"/>
          <w:szCs w:val="24"/>
        </w:rPr>
        <w:t xml:space="preserve">kontroly přiměřenosti podpory </w:t>
      </w:r>
      <w:r w:rsidRPr="004713EF">
        <w:rPr>
          <w:b/>
          <w:sz w:val="24"/>
          <w:szCs w:val="24"/>
        </w:rPr>
        <w:t>je 3 349 zdrojů. Tyto zdroje čerpaly v roce 2015 podporu elektřiny z OZE ve výši 36,64 mld. Kč.</w:t>
      </w:r>
      <w:r w:rsidRPr="004713EF">
        <w:rPr>
          <w:sz w:val="24"/>
          <w:szCs w:val="24"/>
        </w:rPr>
        <w:t xml:space="preserve"> Jedná se o 10,79 % z celkové počtu registrovaných podporovaných zdrojů OZE a tento počet zdrojů čerpal v roce 2015  podporu ve výši 89,2 % z celkově vyplacené podpory za rok 2015. Z</w:t>
      </w:r>
      <w:r>
        <w:rPr>
          <w:sz w:val="24"/>
          <w:szCs w:val="24"/>
        </w:rPr>
        <w:t> </w:t>
      </w:r>
      <w:r w:rsidRPr="004713EF">
        <w:rPr>
          <w:sz w:val="24"/>
          <w:szCs w:val="24"/>
        </w:rPr>
        <w:t>toho</w:t>
      </w:r>
      <w:r>
        <w:rPr>
          <w:sz w:val="24"/>
          <w:szCs w:val="24"/>
        </w:rPr>
        <w:t xml:space="preserve">to celkového počtu zdrojů </w:t>
      </w:r>
    </w:p>
    <w:p w14:paraId="09215D34" w14:textId="2441583E" w:rsidR="006B2D5D" w:rsidRDefault="00ED1764" w:rsidP="000B4301">
      <w:pPr>
        <w:pStyle w:val="Odstavecseseznamem"/>
        <w:numPr>
          <w:ilvl w:val="0"/>
          <w:numId w:val="30"/>
        </w:numPr>
        <w:tabs>
          <w:tab w:val="left" w:pos="0"/>
        </w:tabs>
        <w:overflowPunct/>
        <w:autoSpaceDE/>
        <w:autoSpaceDN/>
        <w:adjustRightInd/>
        <w:spacing w:before="100" w:beforeAutospacing="1" w:after="100" w:afterAutospacing="1" w:line="276" w:lineRule="auto"/>
        <w:ind w:left="426" w:hanging="426"/>
        <w:jc w:val="both"/>
        <w:textAlignment w:val="auto"/>
        <w:rPr>
          <w:sz w:val="24"/>
          <w:szCs w:val="24"/>
        </w:rPr>
      </w:pPr>
      <w:r>
        <w:rPr>
          <w:sz w:val="24"/>
          <w:szCs w:val="24"/>
        </w:rPr>
        <w:t xml:space="preserve">celkem </w:t>
      </w:r>
      <w:r w:rsidR="006B2D5D" w:rsidRPr="004713EF">
        <w:rPr>
          <w:sz w:val="24"/>
          <w:szCs w:val="24"/>
        </w:rPr>
        <w:t xml:space="preserve">1 488 počet zdrojů bude spadat do mechanismu </w:t>
      </w:r>
      <w:r w:rsidR="00777AA3">
        <w:rPr>
          <w:sz w:val="24"/>
          <w:szCs w:val="24"/>
        </w:rPr>
        <w:t xml:space="preserve">kontroly přiměřenosti podpory </w:t>
      </w:r>
      <w:r w:rsidR="006B2D5D" w:rsidRPr="004713EF">
        <w:rPr>
          <w:sz w:val="24"/>
          <w:szCs w:val="24"/>
        </w:rPr>
        <w:t xml:space="preserve">v linii kontroly </w:t>
      </w:r>
      <w:r w:rsidR="007F7648">
        <w:rPr>
          <w:sz w:val="24"/>
          <w:szCs w:val="24"/>
        </w:rPr>
        <w:t>reprezentativního</w:t>
      </w:r>
      <w:r w:rsidR="006B2D5D" w:rsidRPr="004713EF">
        <w:rPr>
          <w:sz w:val="24"/>
          <w:szCs w:val="24"/>
        </w:rPr>
        <w:t xml:space="preserve"> vzorku zdrojů, což je 4,79 % z celkové počtu registrovaných podporovaných zdrojů OZE, které čerpají podporu.</w:t>
      </w:r>
    </w:p>
    <w:p w14:paraId="5CF5E653" w14:textId="4713344D" w:rsidR="00ED1764" w:rsidRDefault="00ED1764" w:rsidP="000B4301">
      <w:pPr>
        <w:pStyle w:val="Odstavecseseznamem"/>
        <w:numPr>
          <w:ilvl w:val="0"/>
          <w:numId w:val="30"/>
        </w:numPr>
        <w:tabs>
          <w:tab w:val="left" w:pos="0"/>
        </w:tabs>
        <w:overflowPunct/>
        <w:autoSpaceDE/>
        <w:autoSpaceDN/>
        <w:adjustRightInd/>
        <w:spacing w:before="100" w:beforeAutospacing="1" w:after="100" w:afterAutospacing="1" w:line="276" w:lineRule="auto"/>
        <w:ind w:left="426" w:hanging="426"/>
        <w:jc w:val="both"/>
        <w:textAlignment w:val="auto"/>
        <w:rPr>
          <w:sz w:val="24"/>
          <w:szCs w:val="24"/>
        </w:rPr>
      </w:pPr>
      <w:r>
        <w:rPr>
          <w:sz w:val="24"/>
          <w:szCs w:val="24"/>
        </w:rPr>
        <w:lastRenderedPageBreak/>
        <w:t xml:space="preserve">celkem </w:t>
      </w:r>
      <w:r w:rsidRPr="00736A84">
        <w:rPr>
          <w:sz w:val="24"/>
          <w:szCs w:val="24"/>
        </w:rPr>
        <w:t>1 </w:t>
      </w:r>
      <w:r>
        <w:rPr>
          <w:sz w:val="24"/>
          <w:szCs w:val="24"/>
        </w:rPr>
        <w:t>861</w:t>
      </w:r>
      <w:r w:rsidRPr="00736A84">
        <w:rPr>
          <w:sz w:val="24"/>
          <w:szCs w:val="24"/>
        </w:rPr>
        <w:t xml:space="preserve"> počet zdrojů bude spadat do mechanismu </w:t>
      </w:r>
      <w:r w:rsidR="00777AA3">
        <w:rPr>
          <w:sz w:val="24"/>
          <w:szCs w:val="24"/>
        </w:rPr>
        <w:t xml:space="preserve">kontroly přiměřenosti podpory </w:t>
      </w:r>
      <w:r w:rsidRPr="00736A84">
        <w:rPr>
          <w:sz w:val="24"/>
          <w:szCs w:val="24"/>
        </w:rPr>
        <w:t xml:space="preserve">v linii </w:t>
      </w:r>
      <w:r>
        <w:rPr>
          <w:sz w:val="24"/>
          <w:szCs w:val="24"/>
        </w:rPr>
        <w:t xml:space="preserve">individuální </w:t>
      </w:r>
      <w:r w:rsidRPr="00736A84">
        <w:rPr>
          <w:sz w:val="24"/>
          <w:szCs w:val="24"/>
        </w:rPr>
        <w:t>kontroly zdrojů</w:t>
      </w:r>
      <w:r>
        <w:rPr>
          <w:sz w:val="24"/>
          <w:szCs w:val="24"/>
        </w:rPr>
        <w:t>, což je 5,99</w:t>
      </w:r>
      <w:r w:rsidRPr="00736A84">
        <w:rPr>
          <w:sz w:val="24"/>
          <w:szCs w:val="24"/>
        </w:rPr>
        <w:t xml:space="preserve"> % z celkové počtu registrovaných podporovaných zdrojů OZE, které čerpají podporu.</w:t>
      </w:r>
    </w:p>
    <w:p w14:paraId="2F591556" w14:textId="77777777" w:rsidR="004541CB" w:rsidRDefault="004541CB" w:rsidP="004713EF">
      <w:pPr>
        <w:spacing w:after="0" w:line="240" w:lineRule="auto"/>
        <w:jc w:val="both"/>
        <w:rPr>
          <w:b/>
          <w:sz w:val="24"/>
          <w:szCs w:val="24"/>
          <w:u w:val="single"/>
        </w:rPr>
      </w:pPr>
    </w:p>
    <w:p w14:paraId="59C266B4" w14:textId="77777777" w:rsidR="00D06AC6" w:rsidRDefault="00D06AC6" w:rsidP="004713EF">
      <w:pPr>
        <w:spacing w:after="0" w:line="240" w:lineRule="auto"/>
        <w:jc w:val="both"/>
        <w:rPr>
          <w:b/>
          <w:sz w:val="24"/>
          <w:szCs w:val="24"/>
          <w:u w:val="single"/>
        </w:rPr>
      </w:pPr>
    </w:p>
    <w:p w14:paraId="11EAF16B" w14:textId="77777777" w:rsidR="00D06AC6" w:rsidRDefault="00D06AC6" w:rsidP="004713EF">
      <w:pPr>
        <w:spacing w:after="0" w:line="240" w:lineRule="auto"/>
        <w:jc w:val="both"/>
        <w:rPr>
          <w:b/>
          <w:sz w:val="24"/>
          <w:szCs w:val="24"/>
          <w:u w:val="single"/>
        </w:rPr>
      </w:pPr>
    </w:p>
    <w:p w14:paraId="7D3C4A2B" w14:textId="77777777" w:rsidR="00D06AC6" w:rsidRDefault="00D06AC6" w:rsidP="004713EF">
      <w:pPr>
        <w:spacing w:after="0" w:line="240" w:lineRule="auto"/>
        <w:jc w:val="both"/>
        <w:rPr>
          <w:b/>
          <w:sz w:val="24"/>
          <w:szCs w:val="24"/>
          <w:u w:val="single"/>
        </w:rPr>
      </w:pPr>
    </w:p>
    <w:p w14:paraId="0CF64B96" w14:textId="77777777" w:rsidR="00D06AC6" w:rsidRDefault="00D06AC6" w:rsidP="004713EF">
      <w:pPr>
        <w:spacing w:after="0" w:line="240" w:lineRule="auto"/>
        <w:jc w:val="both"/>
        <w:rPr>
          <w:b/>
          <w:sz w:val="24"/>
          <w:szCs w:val="24"/>
          <w:u w:val="single"/>
        </w:rPr>
      </w:pPr>
    </w:p>
    <w:p w14:paraId="5FBE65A0" w14:textId="77777777" w:rsidR="00D06AC6" w:rsidRDefault="00D06AC6" w:rsidP="004713EF">
      <w:pPr>
        <w:spacing w:after="0" w:line="240" w:lineRule="auto"/>
        <w:jc w:val="both"/>
        <w:rPr>
          <w:b/>
          <w:sz w:val="24"/>
          <w:szCs w:val="24"/>
          <w:u w:val="single"/>
        </w:rPr>
      </w:pPr>
    </w:p>
    <w:p w14:paraId="264D8471" w14:textId="77777777" w:rsidR="00D06AC6" w:rsidRDefault="00D06AC6" w:rsidP="004713EF">
      <w:pPr>
        <w:spacing w:after="0" w:line="240" w:lineRule="auto"/>
        <w:jc w:val="both"/>
        <w:rPr>
          <w:b/>
          <w:sz w:val="24"/>
          <w:szCs w:val="24"/>
          <w:u w:val="single"/>
        </w:rPr>
      </w:pPr>
    </w:p>
    <w:p w14:paraId="06DEAA50" w14:textId="77777777" w:rsidR="00D06AC6" w:rsidRDefault="00D06AC6" w:rsidP="004713EF">
      <w:pPr>
        <w:spacing w:after="0" w:line="240" w:lineRule="auto"/>
        <w:jc w:val="both"/>
        <w:rPr>
          <w:b/>
          <w:sz w:val="24"/>
          <w:szCs w:val="24"/>
          <w:u w:val="single"/>
        </w:rPr>
      </w:pPr>
    </w:p>
    <w:p w14:paraId="27386893" w14:textId="77777777" w:rsidR="00D06AC6" w:rsidRDefault="00D06AC6" w:rsidP="004713EF">
      <w:pPr>
        <w:spacing w:after="0" w:line="240" w:lineRule="auto"/>
        <w:jc w:val="both"/>
        <w:rPr>
          <w:b/>
          <w:sz w:val="24"/>
          <w:szCs w:val="24"/>
          <w:u w:val="single"/>
        </w:rPr>
      </w:pPr>
    </w:p>
    <w:p w14:paraId="3A109B01" w14:textId="77777777" w:rsidR="00D06AC6" w:rsidRDefault="00D06AC6" w:rsidP="004713EF">
      <w:pPr>
        <w:spacing w:after="0" w:line="240" w:lineRule="auto"/>
        <w:jc w:val="both"/>
        <w:rPr>
          <w:b/>
          <w:sz w:val="24"/>
          <w:szCs w:val="24"/>
          <w:u w:val="single"/>
        </w:rPr>
      </w:pPr>
    </w:p>
    <w:p w14:paraId="2A1759C5" w14:textId="77777777" w:rsidR="00D06AC6" w:rsidRDefault="00D06AC6" w:rsidP="004713EF">
      <w:pPr>
        <w:spacing w:after="0" w:line="240" w:lineRule="auto"/>
        <w:jc w:val="both"/>
        <w:rPr>
          <w:b/>
          <w:sz w:val="24"/>
          <w:szCs w:val="24"/>
          <w:u w:val="single"/>
        </w:rPr>
      </w:pPr>
    </w:p>
    <w:p w14:paraId="5CDB9D53" w14:textId="77777777" w:rsidR="00D06AC6" w:rsidRDefault="00D06AC6" w:rsidP="004713EF">
      <w:pPr>
        <w:spacing w:after="0" w:line="240" w:lineRule="auto"/>
        <w:jc w:val="both"/>
        <w:rPr>
          <w:b/>
          <w:sz w:val="24"/>
          <w:szCs w:val="24"/>
          <w:u w:val="single"/>
        </w:rPr>
      </w:pPr>
    </w:p>
    <w:p w14:paraId="702F7348" w14:textId="77777777" w:rsidR="00D06AC6" w:rsidRDefault="00D06AC6" w:rsidP="004713EF">
      <w:pPr>
        <w:spacing w:after="0" w:line="240" w:lineRule="auto"/>
        <w:jc w:val="both"/>
        <w:rPr>
          <w:b/>
          <w:sz w:val="24"/>
          <w:szCs w:val="24"/>
          <w:u w:val="single"/>
        </w:rPr>
      </w:pPr>
    </w:p>
    <w:p w14:paraId="67669434" w14:textId="77777777" w:rsidR="00D06AC6" w:rsidRDefault="00D06AC6" w:rsidP="004713EF">
      <w:pPr>
        <w:spacing w:after="0" w:line="240" w:lineRule="auto"/>
        <w:jc w:val="both"/>
        <w:rPr>
          <w:b/>
          <w:sz w:val="24"/>
          <w:szCs w:val="24"/>
          <w:u w:val="single"/>
        </w:rPr>
      </w:pPr>
    </w:p>
    <w:p w14:paraId="65508341" w14:textId="77777777" w:rsidR="00D06AC6" w:rsidRDefault="00D06AC6" w:rsidP="004713EF">
      <w:pPr>
        <w:spacing w:after="0" w:line="240" w:lineRule="auto"/>
        <w:jc w:val="both"/>
        <w:rPr>
          <w:b/>
          <w:sz w:val="24"/>
          <w:szCs w:val="24"/>
          <w:u w:val="single"/>
        </w:rPr>
      </w:pPr>
    </w:p>
    <w:p w14:paraId="5CC831D3" w14:textId="77777777" w:rsidR="00D06AC6" w:rsidRDefault="00D06AC6" w:rsidP="004713EF">
      <w:pPr>
        <w:spacing w:after="0" w:line="240" w:lineRule="auto"/>
        <w:jc w:val="both"/>
        <w:rPr>
          <w:b/>
          <w:sz w:val="24"/>
          <w:szCs w:val="24"/>
          <w:u w:val="single"/>
        </w:rPr>
      </w:pPr>
    </w:p>
    <w:p w14:paraId="072C43FF" w14:textId="77777777" w:rsidR="00D06AC6" w:rsidRDefault="00D06AC6" w:rsidP="004713EF">
      <w:pPr>
        <w:spacing w:after="0" w:line="240" w:lineRule="auto"/>
        <w:jc w:val="both"/>
        <w:rPr>
          <w:b/>
          <w:sz w:val="24"/>
          <w:szCs w:val="24"/>
          <w:u w:val="single"/>
        </w:rPr>
      </w:pPr>
    </w:p>
    <w:p w14:paraId="48394708" w14:textId="77777777" w:rsidR="00D06AC6" w:rsidRDefault="00D06AC6" w:rsidP="004713EF">
      <w:pPr>
        <w:spacing w:after="0" w:line="240" w:lineRule="auto"/>
        <w:jc w:val="both"/>
        <w:rPr>
          <w:b/>
          <w:sz w:val="24"/>
          <w:szCs w:val="24"/>
          <w:u w:val="single"/>
        </w:rPr>
      </w:pPr>
    </w:p>
    <w:p w14:paraId="5866DCFD" w14:textId="77777777" w:rsidR="00D06AC6" w:rsidRDefault="00D06AC6" w:rsidP="004713EF">
      <w:pPr>
        <w:spacing w:after="0" w:line="240" w:lineRule="auto"/>
        <w:jc w:val="both"/>
        <w:rPr>
          <w:b/>
          <w:sz w:val="24"/>
          <w:szCs w:val="24"/>
          <w:u w:val="single"/>
        </w:rPr>
      </w:pPr>
    </w:p>
    <w:p w14:paraId="26A2E3CB" w14:textId="79E3079B" w:rsidR="004541CB" w:rsidRPr="00F644DC" w:rsidRDefault="004541CB" w:rsidP="00C07DEA">
      <w:pPr>
        <w:pStyle w:val="Odstavecseseznamem"/>
        <w:numPr>
          <w:ilvl w:val="0"/>
          <w:numId w:val="61"/>
        </w:numPr>
        <w:tabs>
          <w:tab w:val="left" w:pos="6640"/>
        </w:tabs>
        <w:spacing w:after="0" w:line="240" w:lineRule="auto"/>
        <w:jc w:val="both"/>
        <w:rPr>
          <w:b/>
          <w:i/>
          <w:sz w:val="24"/>
          <w:szCs w:val="24"/>
        </w:rPr>
      </w:pPr>
      <w:r>
        <w:rPr>
          <w:b/>
          <w:i/>
          <w:sz w:val="24"/>
          <w:szCs w:val="24"/>
        </w:rPr>
        <w:t xml:space="preserve">Počet </w:t>
      </w:r>
      <w:r w:rsidR="007F7648">
        <w:rPr>
          <w:b/>
          <w:i/>
          <w:sz w:val="24"/>
          <w:szCs w:val="24"/>
        </w:rPr>
        <w:t xml:space="preserve">zdrojů </w:t>
      </w:r>
      <w:r>
        <w:rPr>
          <w:b/>
          <w:i/>
          <w:sz w:val="24"/>
          <w:szCs w:val="24"/>
        </w:rPr>
        <w:t xml:space="preserve">nad hranicí de minimis, které </w:t>
      </w:r>
      <w:r w:rsidR="00ED1764">
        <w:rPr>
          <w:b/>
          <w:i/>
          <w:sz w:val="24"/>
          <w:szCs w:val="24"/>
        </w:rPr>
        <w:t xml:space="preserve">v případě kumulace několika druhů podpor </w:t>
      </w:r>
      <w:r>
        <w:rPr>
          <w:b/>
          <w:i/>
          <w:sz w:val="24"/>
          <w:szCs w:val="24"/>
        </w:rPr>
        <w:t>k</w:t>
      </w:r>
      <w:r w:rsidR="007F7648">
        <w:rPr>
          <w:b/>
          <w:i/>
          <w:sz w:val="24"/>
          <w:szCs w:val="24"/>
        </w:rPr>
        <w:t>u</w:t>
      </w:r>
      <w:r>
        <w:rPr>
          <w:b/>
          <w:i/>
          <w:sz w:val="24"/>
          <w:szCs w:val="24"/>
        </w:rPr>
        <w:t xml:space="preserve">mulovali s podporou elektřiny z OZE pouze podporu decentrální výroby elektřiny </w:t>
      </w:r>
    </w:p>
    <w:p w14:paraId="7D38C301" w14:textId="77777777" w:rsidR="00D06AC6" w:rsidRDefault="00D06AC6" w:rsidP="004713EF">
      <w:pPr>
        <w:spacing w:after="0" w:line="240" w:lineRule="auto"/>
        <w:jc w:val="both"/>
        <w:rPr>
          <w:b/>
          <w:sz w:val="24"/>
          <w:szCs w:val="24"/>
          <w:u w:val="single"/>
        </w:rPr>
      </w:pPr>
    </w:p>
    <w:p w14:paraId="01C2768A" w14:textId="46CA596B" w:rsidR="00DC027C" w:rsidRPr="004713EF" w:rsidRDefault="00DC027C" w:rsidP="004713EF">
      <w:pPr>
        <w:spacing w:after="0" w:line="240" w:lineRule="auto"/>
        <w:jc w:val="both"/>
        <w:rPr>
          <w:sz w:val="24"/>
          <w:szCs w:val="24"/>
          <w:u w:val="single"/>
        </w:rPr>
      </w:pPr>
      <w:r w:rsidRPr="009E0D89">
        <w:rPr>
          <w:b/>
          <w:sz w:val="24"/>
          <w:szCs w:val="24"/>
          <w:u w:val="single"/>
        </w:rPr>
        <w:t>Palivové zdroje</w:t>
      </w:r>
      <w:r w:rsidRPr="00AE30D4">
        <w:rPr>
          <w:sz w:val="24"/>
          <w:szCs w:val="24"/>
          <w:u w:val="single"/>
        </w:rPr>
        <w:t xml:space="preserve">, které </w:t>
      </w:r>
      <w:r>
        <w:rPr>
          <w:sz w:val="24"/>
          <w:szCs w:val="24"/>
          <w:u w:val="single"/>
        </w:rPr>
        <w:t>kumulovali pouze podporu elektřiny z OZE a podporu decentrální výroby elektřiny:</w:t>
      </w:r>
    </w:p>
    <w:p w14:paraId="6102F924" w14:textId="77777777" w:rsidR="00DC027C" w:rsidRDefault="00DC027C" w:rsidP="00A84F1B">
      <w:pPr>
        <w:tabs>
          <w:tab w:val="left" w:pos="6640"/>
        </w:tabs>
        <w:spacing w:after="0" w:line="240" w:lineRule="auto"/>
        <w:jc w:val="both"/>
        <w:rPr>
          <w:sz w:val="24"/>
          <w:szCs w:val="24"/>
        </w:rPr>
      </w:pPr>
    </w:p>
    <w:p w14:paraId="4A1CC47A" w14:textId="09E42209" w:rsidR="00DC027C" w:rsidRPr="00450492" w:rsidRDefault="00DC027C" w:rsidP="00A84F1B">
      <w:pPr>
        <w:tabs>
          <w:tab w:val="left" w:pos="6640"/>
        </w:tabs>
        <w:spacing w:after="0" w:line="240" w:lineRule="auto"/>
        <w:jc w:val="both"/>
        <w:rPr>
          <w:sz w:val="24"/>
          <w:szCs w:val="24"/>
        </w:rPr>
      </w:pPr>
      <w:r w:rsidRPr="00DC027C">
        <w:rPr>
          <w:noProof/>
        </w:rPr>
        <w:drawing>
          <wp:inline distT="0" distB="0" distL="0" distR="0" wp14:anchorId="438FABC9" wp14:editId="16C0DE70">
            <wp:extent cx="5760034" cy="3225600"/>
            <wp:effectExtent l="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75633" cy="3234335"/>
                    </a:xfrm>
                    <a:prstGeom prst="rect">
                      <a:avLst/>
                    </a:prstGeom>
                    <a:noFill/>
                    <a:ln>
                      <a:noFill/>
                    </a:ln>
                  </pic:spPr>
                </pic:pic>
              </a:graphicData>
            </a:graphic>
          </wp:inline>
        </w:drawing>
      </w:r>
    </w:p>
    <w:p w14:paraId="1852D370" w14:textId="77777777" w:rsidR="006A3E80" w:rsidRPr="00A118DD" w:rsidRDefault="006A3E80" w:rsidP="00A118DD">
      <w:pPr>
        <w:tabs>
          <w:tab w:val="left" w:pos="6640"/>
        </w:tabs>
        <w:spacing w:after="0" w:line="240" w:lineRule="auto"/>
        <w:ind w:left="284"/>
        <w:jc w:val="right"/>
        <w:rPr>
          <w:sz w:val="24"/>
          <w:szCs w:val="24"/>
        </w:rPr>
      </w:pPr>
      <w:r w:rsidRPr="00A118DD">
        <w:rPr>
          <w:sz w:val="24"/>
          <w:szCs w:val="24"/>
          <w:u w:val="single"/>
        </w:rPr>
        <w:lastRenderedPageBreak/>
        <w:t>Zdroj:</w:t>
      </w:r>
      <w:r w:rsidRPr="00A118DD">
        <w:rPr>
          <w:sz w:val="24"/>
          <w:szCs w:val="24"/>
        </w:rPr>
        <w:t xml:space="preserve"> OTE, a.s.</w:t>
      </w:r>
    </w:p>
    <w:p w14:paraId="1ED58BAD" w14:textId="77777777" w:rsidR="006A3E80" w:rsidRDefault="006A3E80" w:rsidP="00DC027C">
      <w:pPr>
        <w:spacing w:after="0" w:line="240" w:lineRule="auto"/>
        <w:jc w:val="both"/>
        <w:rPr>
          <w:b/>
          <w:sz w:val="24"/>
          <w:szCs w:val="24"/>
          <w:u w:val="single"/>
        </w:rPr>
      </w:pPr>
    </w:p>
    <w:p w14:paraId="1C8A3F6D" w14:textId="5BD549D7" w:rsidR="00DC027C" w:rsidRPr="00150951" w:rsidRDefault="00DC027C" w:rsidP="00DC027C">
      <w:pPr>
        <w:spacing w:after="0" w:line="240" w:lineRule="auto"/>
        <w:jc w:val="both"/>
        <w:rPr>
          <w:sz w:val="24"/>
          <w:szCs w:val="24"/>
          <w:u w:val="single"/>
        </w:rPr>
      </w:pPr>
      <w:r>
        <w:rPr>
          <w:b/>
          <w:sz w:val="24"/>
          <w:szCs w:val="24"/>
          <w:u w:val="single"/>
        </w:rPr>
        <w:t>Nep</w:t>
      </w:r>
      <w:r w:rsidRPr="009E0D89">
        <w:rPr>
          <w:b/>
          <w:sz w:val="24"/>
          <w:szCs w:val="24"/>
          <w:u w:val="single"/>
        </w:rPr>
        <w:t>alivové zdroje</w:t>
      </w:r>
      <w:r w:rsidRPr="00AE30D4">
        <w:rPr>
          <w:sz w:val="24"/>
          <w:szCs w:val="24"/>
          <w:u w:val="single"/>
        </w:rPr>
        <w:t xml:space="preserve">, které </w:t>
      </w:r>
      <w:r>
        <w:rPr>
          <w:sz w:val="24"/>
          <w:szCs w:val="24"/>
          <w:u w:val="single"/>
        </w:rPr>
        <w:t>kumulovali pouze podporu elektřiny z OZE a podporu decentrální výroby elektřiny:</w:t>
      </w:r>
    </w:p>
    <w:p w14:paraId="1BD29762" w14:textId="77777777" w:rsidR="00DC027C" w:rsidRDefault="00DC027C" w:rsidP="00213BA3">
      <w:pPr>
        <w:tabs>
          <w:tab w:val="left" w:pos="6640"/>
        </w:tabs>
        <w:spacing w:after="0" w:line="240" w:lineRule="auto"/>
        <w:jc w:val="both"/>
        <w:rPr>
          <w:b/>
          <w:sz w:val="24"/>
          <w:szCs w:val="24"/>
          <w:u w:val="single"/>
        </w:rPr>
      </w:pPr>
    </w:p>
    <w:p w14:paraId="790645B8" w14:textId="34898AF3" w:rsidR="00DC027C" w:rsidRDefault="009A2A93" w:rsidP="00213BA3">
      <w:pPr>
        <w:tabs>
          <w:tab w:val="left" w:pos="6640"/>
        </w:tabs>
        <w:spacing w:after="0" w:line="240" w:lineRule="auto"/>
        <w:jc w:val="both"/>
        <w:rPr>
          <w:b/>
          <w:sz w:val="24"/>
          <w:szCs w:val="24"/>
          <w:u w:val="single"/>
        </w:rPr>
      </w:pPr>
      <w:r w:rsidRPr="009A2A93">
        <w:rPr>
          <w:noProof/>
        </w:rPr>
        <w:drawing>
          <wp:inline distT="0" distB="0" distL="0" distR="0" wp14:anchorId="4CA0EDC8" wp14:editId="00222278">
            <wp:extent cx="5760085" cy="2419200"/>
            <wp:effectExtent l="0" t="0" r="0" b="635"/>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02380" cy="2436964"/>
                    </a:xfrm>
                    <a:prstGeom prst="rect">
                      <a:avLst/>
                    </a:prstGeom>
                    <a:noFill/>
                    <a:ln>
                      <a:noFill/>
                    </a:ln>
                  </pic:spPr>
                </pic:pic>
              </a:graphicData>
            </a:graphic>
          </wp:inline>
        </w:drawing>
      </w:r>
    </w:p>
    <w:p w14:paraId="3C863B37" w14:textId="77777777" w:rsidR="006A3E80" w:rsidRPr="00A118DD" w:rsidRDefault="006A3E80" w:rsidP="00A118DD">
      <w:pPr>
        <w:tabs>
          <w:tab w:val="left" w:pos="6640"/>
        </w:tabs>
        <w:spacing w:after="0" w:line="240" w:lineRule="auto"/>
        <w:ind w:left="284"/>
        <w:jc w:val="right"/>
        <w:rPr>
          <w:sz w:val="24"/>
          <w:szCs w:val="24"/>
        </w:rPr>
      </w:pPr>
      <w:r w:rsidRPr="00A118DD">
        <w:rPr>
          <w:sz w:val="24"/>
          <w:szCs w:val="24"/>
          <w:u w:val="single"/>
        </w:rPr>
        <w:t>Zdroj:</w:t>
      </w:r>
      <w:r w:rsidRPr="00A118DD">
        <w:rPr>
          <w:sz w:val="24"/>
          <w:szCs w:val="24"/>
        </w:rPr>
        <w:t xml:space="preserve"> OTE, a.s.</w:t>
      </w:r>
    </w:p>
    <w:p w14:paraId="0F7C06F5" w14:textId="79AA6290" w:rsidR="00CA77B4" w:rsidRDefault="00CA77B4" w:rsidP="00ED1764">
      <w:pPr>
        <w:tabs>
          <w:tab w:val="left" w:pos="0"/>
        </w:tabs>
        <w:overflowPunct/>
        <w:autoSpaceDE/>
        <w:autoSpaceDN/>
        <w:adjustRightInd/>
        <w:spacing w:before="240" w:after="240" w:line="259" w:lineRule="auto"/>
        <w:jc w:val="both"/>
        <w:textAlignment w:val="auto"/>
        <w:rPr>
          <w:sz w:val="24"/>
          <w:szCs w:val="24"/>
          <w:u w:val="single"/>
        </w:rPr>
      </w:pPr>
    </w:p>
    <w:p w14:paraId="3337D612" w14:textId="77777777" w:rsidR="00E32A4B" w:rsidRDefault="00E32A4B" w:rsidP="00ED1764">
      <w:pPr>
        <w:tabs>
          <w:tab w:val="left" w:pos="0"/>
        </w:tabs>
        <w:overflowPunct/>
        <w:autoSpaceDE/>
        <w:autoSpaceDN/>
        <w:adjustRightInd/>
        <w:spacing w:before="240" w:after="240" w:line="259" w:lineRule="auto"/>
        <w:jc w:val="both"/>
        <w:textAlignment w:val="auto"/>
        <w:rPr>
          <w:sz w:val="24"/>
          <w:szCs w:val="24"/>
          <w:u w:val="single"/>
        </w:rPr>
      </w:pPr>
    </w:p>
    <w:p w14:paraId="059DE930" w14:textId="77777777" w:rsidR="00D06AC6" w:rsidRDefault="00D06AC6" w:rsidP="00ED1764">
      <w:pPr>
        <w:tabs>
          <w:tab w:val="left" w:pos="0"/>
        </w:tabs>
        <w:overflowPunct/>
        <w:autoSpaceDE/>
        <w:autoSpaceDN/>
        <w:adjustRightInd/>
        <w:spacing w:before="240" w:after="240" w:line="259" w:lineRule="auto"/>
        <w:jc w:val="both"/>
        <w:textAlignment w:val="auto"/>
        <w:rPr>
          <w:sz w:val="24"/>
          <w:szCs w:val="24"/>
          <w:u w:val="single"/>
        </w:rPr>
      </w:pPr>
    </w:p>
    <w:p w14:paraId="23DA9091" w14:textId="77777777" w:rsidR="00ED1764" w:rsidRPr="006A3E80" w:rsidRDefault="00ED1764" w:rsidP="00ED1764">
      <w:pPr>
        <w:tabs>
          <w:tab w:val="left" w:pos="0"/>
        </w:tabs>
        <w:overflowPunct/>
        <w:autoSpaceDE/>
        <w:autoSpaceDN/>
        <w:adjustRightInd/>
        <w:spacing w:before="240" w:after="240" w:line="259" w:lineRule="auto"/>
        <w:jc w:val="both"/>
        <w:textAlignment w:val="auto"/>
        <w:rPr>
          <w:sz w:val="24"/>
          <w:szCs w:val="24"/>
          <w:u w:val="single"/>
        </w:rPr>
      </w:pPr>
      <w:r w:rsidRPr="006A3E80">
        <w:rPr>
          <w:sz w:val="24"/>
          <w:szCs w:val="24"/>
          <w:u w:val="single"/>
        </w:rPr>
        <w:t xml:space="preserve">Z výše uvedených tabulek vyplývá následující: </w:t>
      </w:r>
    </w:p>
    <w:p w14:paraId="240DF21C" w14:textId="46DFA1D4" w:rsidR="00ED1764" w:rsidRPr="004713EF" w:rsidRDefault="00ED1764" w:rsidP="000B4301">
      <w:pPr>
        <w:pStyle w:val="Odstavecseseznamem"/>
        <w:numPr>
          <w:ilvl w:val="0"/>
          <w:numId w:val="26"/>
        </w:numPr>
        <w:tabs>
          <w:tab w:val="left" w:pos="0"/>
        </w:tabs>
        <w:overflowPunct/>
        <w:autoSpaceDE/>
        <w:autoSpaceDN/>
        <w:adjustRightInd/>
        <w:spacing w:before="100" w:beforeAutospacing="1" w:after="100" w:afterAutospacing="1" w:line="276" w:lineRule="auto"/>
        <w:jc w:val="both"/>
        <w:textAlignment w:val="auto"/>
        <w:rPr>
          <w:sz w:val="24"/>
          <w:szCs w:val="24"/>
        </w:rPr>
      </w:pPr>
      <w:r w:rsidRPr="004713EF">
        <w:rPr>
          <w:sz w:val="24"/>
          <w:szCs w:val="24"/>
        </w:rPr>
        <w:t>celkový počet zdrojů</w:t>
      </w:r>
      <w:r w:rsidR="0015410E">
        <w:rPr>
          <w:sz w:val="24"/>
          <w:szCs w:val="24"/>
        </w:rPr>
        <w:t>,</w:t>
      </w:r>
      <w:r w:rsidRPr="004713EF">
        <w:rPr>
          <w:sz w:val="24"/>
          <w:szCs w:val="24"/>
        </w:rPr>
        <w:t xml:space="preserve"> u kterých docházelo ke kumulaci několika druhů podpor a  čerpaly celkovou podporu nad hranici de minimis</w:t>
      </w:r>
      <w:r w:rsidR="0015410E">
        <w:rPr>
          <w:sz w:val="24"/>
          <w:szCs w:val="24"/>
        </w:rPr>
        <w:t>,</w:t>
      </w:r>
      <w:r w:rsidRPr="004713EF">
        <w:rPr>
          <w:sz w:val="24"/>
          <w:szCs w:val="24"/>
        </w:rPr>
        <w:t xml:space="preserve"> je 1 861,</w:t>
      </w:r>
      <w:r w:rsidRPr="00043C77">
        <w:rPr>
          <w:b/>
          <w:sz w:val="24"/>
          <w:szCs w:val="24"/>
        </w:rPr>
        <w:t xml:space="preserve"> </w:t>
      </w:r>
      <w:r w:rsidRPr="00043C77">
        <w:rPr>
          <w:sz w:val="24"/>
          <w:szCs w:val="24"/>
        </w:rPr>
        <w:t xml:space="preserve">přičemž </w:t>
      </w:r>
      <w:r w:rsidRPr="00043C77">
        <w:rPr>
          <w:b/>
          <w:sz w:val="24"/>
          <w:szCs w:val="24"/>
        </w:rPr>
        <w:t xml:space="preserve">590 zdrojů z tohoto počtu čerpalo k podpoře elektřiny z OZE pouze podporu decentrální výroby elektřiny. </w:t>
      </w:r>
    </w:p>
    <w:p w14:paraId="1C39F597" w14:textId="089C9B96" w:rsidR="00ED1764" w:rsidRPr="004713EF" w:rsidRDefault="00ED1764" w:rsidP="000B4301">
      <w:pPr>
        <w:pStyle w:val="Odstavecseseznamem"/>
        <w:numPr>
          <w:ilvl w:val="0"/>
          <w:numId w:val="26"/>
        </w:numPr>
        <w:tabs>
          <w:tab w:val="left" w:pos="0"/>
        </w:tabs>
        <w:overflowPunct/>
        <w:autoSpaceDE/>
        <w:autoSpaceDN/>
        <w:adjustRightInd/>
        <w:spacing w:before="100" w:beforeAutospacing="1" w:after="100" w:afterAutospacing="1" w:line="276" w:lineRule="auto"/>
        <w:jc w:val="both"/>
        <w:textAlignment w:val="auto"/>
        <w:rPr>
          <w:sz w:val="24"/>
          <w:szCs w:val="24"/>
        </w:rPr>
      </w:pPr>
      <w:r w:rsidRPr="00043C77">
        <w:rPr>
          <w:sz w:val="24"/>
          <w:szCs w:val="24"/>
        </w:rPr>
        <w:t>v případě p</w:t>
      </w:r>
      <w:r w:rsidRPr="004713EF">
        <w:rPr>
          <w:sz w:val="24"/>
          <w:szCs w:val="24"/>
        </w:rPr>
        <w:t xml:space="preserve">očtu zdrojů a čerpané podpoře elektřiny z OZE nad hranicí de minimis při posuzování  podpory za </w:t>
      </w:r>
      <w:r w:rsidR="001536B5">
        <w:rPr>
          <w:sz w:val="24"/>
          <w:szCs w:val="24"/>
        </w:rPr>
        <w:t>jeden podnik</w:t>
      </w:r>
      <w:r w:rsidRPr="004713EF">
        <w:rPr>
          <w:sz w:val="24"/>
          <w:szCs w:val="24"/>
        </w:rPr>
        <w:t xml:space="preserve">, bylo identifikováno celkem 883 zdrojů u kterých docházelo ke </w:t>
      </w:r>
      <w:r w:rsidRPr="00043C77">
        <w:rPr>
          <w:sz w:val="24"/>
          <w:szCs w:val="24"/>
        </w:rPr>
        <w:t xml:space="preserve">kumulaci několika druhů podpor, přičemž </w:t>
      </w:r>
      <w:r w:rsidR="00043C77" w:rsidRPr="00043C77">
        <w:rPr>
          <w:b/>
          <w:sz w:val="24"/>
          <w:szCs w:val="24"/>
        </w:rPr>
        <w:t>545</w:t>
      </w:r>
      <w:r w:rsidRPr="00043C77">
        <w:rPr>
          <w:b/>
          <w:sz w:val="24"/>
          <w:szCs w:val="24"/>
        </w:rPr>
        <w:t xml:space="preserve"> zdrojů z tohoto počtu čerpalo k podpoře elektřiny z OZE pouze podporu decentrální výroby elektřiny.</w:t>
      </w:r>
    </w:p>
    <w:p w14:paraId="06076D84" w14:textId="15A7B148" w:rsidR="00ED1764" w:rsidRPr="004713EF" w:rsidRDefault="00043C77" w:rsidP="000B4301">
      <w:pPr>
        <w:pStyle w:val="Odstavecseseznamem"/>
        <w:numPr>
          <w:ilvl w:val="0"/>
          <w:numId w:val="26"/>
        </w:numPr>
        <w:tabs>
          <w:tab w:val="left" w:pos="0"/>
        </w:tabs>
        <w:overflowPunct/>
        <w:autoSpaceDE/>
        <w:autoSpaceDN/>
        <w:adjustRightInd/>
        <w:spacing w:before="100" w:beforeAutospacing="1" w:after="100" w:afterAutospacing="1" w:line="276" w:lineRule="auto"/>
        <w:jc w:val="both"/>
        <w:textAlignment w:val="auto"/>
        <w:rPr>
          <w:sz w:val="24"/>
          <w:szCs w:val="24"/>
        </w:rPr>
      </w:pPr>
      <w:r w:rsidRPr="004713EF">
        <w:rPr>
          <w:sz w:val="24"/>
          <w:szCs w:val="24"/>
        </w:rPr>
        <w:t>pokud by tedy platil předpoklad, že podpora decentrální výroby elektřiny zásadním způsobem nepřispívá k překompenzaci poskytované podpory a zvyšuje hodnotu IRR zdroje do des</w:t>
      </w:r>
      <w:r w:rsidR="007F7648">
        <w:rPr>
          <w:sz w:val="24"/>
          <w:szCs w:val="24"/>
        </w:rPr>
        <w:t>e</w:t>
      </w:r>
      <w:r w:rsidRPr="004713EF">
        <w:rPr>
          <w:sz w:val="24"/>
          <w:szCs w:val="24"/>
        </w:rPr>
        <w:t xml:space="preserve">tin procent, </w:t>
      </w:r>
      <w:r>
        <w:rPr>
          <w:b/>
          <w:sz w:val="24"/>
          <w:szCs w:val="24"/>
        </w:rPr>
        <w:t>mohlo by dojít k přesunu celkem 1 135 zdrojů z individuální kontroly zdrojů (z původního celkového počtu 1 861 zdrojů) do kontroly v linii reprezentativního vzorku zdrojů.</w:t>
      </w:r>
    </w:p>
    <w:p w14:paraId="1FB3A0BE" w14:textId="7B096FDA" w:rsidR="00043C77" w:rsidRDefault="00043C77" w:rsidP="006A3E80">
      <w:pPr>
        <w:tabs>
          <w:tab w:val="left" w:pos="0"/>
        </w:tabs>
        <w:overflowPunct/>
        <w:autoSpaceDE/>
        <w:autoSpaceDN/>
        <w:adjustRightInd/>
        <w:spacing w:before="100" w:beforeAutospacing="1" w:after="100" w:afterAutospacing="1" w:line="276" w:lineRule="auto"/>
        <w:jc w:val="both"/>
        <w:textAlignment w:val="auto"/>
        <w:rPr>
          <w:sz w:val="24"/>
          <w:szCs w:val="24"/>
        </w:rPr>
      </w:pPr>
      <w:r w:rsidRPr="00736A84">
        <w:rPr>
          <w:b/>
          <w:sz w:val="24"/>
          <w:szCs w:val="24"/>
        </w:rPr>
        <w:t>Celkový počet zdrojů</w:t>
      </w:r>
      <w:r w:rsidR="0015410E">
        <w:rPr>
          <w:b/>
          <w:sz w:val="24"/>
          <w:szCs w:val="24"/>
        </w:rPr>
        <w:t>,</w:t>
      </w:r>
      <w:r>
        <w:rPr>
          <w:b/>
          <w:sz w:val="24"/>
          <w:szCs w:val="24"/>
        </w:rPr>
        <w:t xml:space="preserve"> na které by se měl</w:t>
      </w:r>
      <w:r w:rsidRPr="00736A84">
        <w:rPr>
          <w:b/>
          <w:sz w:val="24"/>
          <w:szCs w:val="24"/>
        </w:rPr>
        <w:t xml:space="preserve"> vztahovat mechanismus</w:t>
      </w:r>
      <w:r w:rsidR="00777AA3">
        <w:rPr>
          <w:b/>
          <w:sz w:val="24"/>
          <w:szCs w:val="24"/>
        </w:rPr>
        <w:t xml:space="preserve"> kontroly přiměřenosti podpory</w:t>
      </w:r>
      <w:r w:rsidR="0015410E">
        <w:rPr>
          <w:b/>
          <w:sz w:val="24"/>
          <w:szCs w:val="24"/>
        </w:rPr>
        <w:t>,</w:t>
      </w:r>
      <w:r w:rsidRPr="00736A84">
        <w:rPr>
          <w:b/>
          <w:sz w:val="24"/>
          <w:szCs w:val="24"/>
        </w:rPr>
        <w:t xml:space="preserve"> </w:t>
      </w:r>
      <w:r>
        <w:rPr>
          <w:b/>
          <w:sz w:val="24"/>
          <w:szCs w:val="24"/>
        </w:rPr>
        <w:t xml:space="preserve">by tedy byl </w:t>
      </w:r>
      <w:r w:rsidRPr="00736A84">
        <w:rPr>
          <w:b/>
          <w:sz w:val="24"/>
          <w:szCs w:val="24"/>
        </w:rPr>
        <w:t>3 349 zdrojů</w:t>
      </w:r>
      <w:r>
        <w:rPr>
          <w:b/>
          <w:sz w:val="24"/>
          <w:szCs w:val="24"/>
        </w:rPr>
        <w:t xml:space="preserve"> s následujícím rozdělením:</w:t>
      </w:r>
      <w:r w:rsidRPr="00736A84">
        <w:rPr>
          <w:b/>
          <w:sz w:val="24"/>
          <w:szCs w:val="24"/>
        </w:rPr>
        <w:t xml:space="preserve"> </w:t>
      </w:r>
    </w:p>
    <w:p w14:paraId="492A66E0" w14:textId="3414FE66" w:rsidR="00043C77" w:rsidRDefault="00043C77" w:rsidP="000B4301">
      <w:pPr>
        <w:pStyle w:val="Odstavecseseznamem"/>
        <w:numPr>
          <w:ilvl w:val="0"/>
          <w:numId w:val="29"/>
        </w:numPr>
        <w:tabs>
          <w:tab w:val="left" w:pos="0"/>
        </w:tabs>
        <w:overflowPunct/>
        <w:autoSpaceDE/>
        <w:autoSpaceDN/>
        <w:adjustRightInd/>
        <w:spacing w:before="100" w:beforeAutospacing="1" w:after="100" w:afterAutospacing="1" w:line="276" w:lineRule="auto"/>
        <w:jc w:val="both"/>
        <w:textAlignment w:val="auto"/>
        <w:rPr>
          <w:sz w:val="24"/>
          <w:szCs w:val="24"/>
        </w:rPr>
      </w:pPr>
      <w:r>
        <w:rPr>
          <w:sz w:val="24"/>
          <w:szCs w:val="24"/>
        </w:rPr>
        <w:lastRenderedPageBreak/>
        <w:t>celkem 2 613</w:t>
      </w:r>
      <w:r w:rsidRPr="00736A84">
        <w:rPr>
          <w:sz w:val="24"/>
          <w:szCs w:val="24"/>
        </w:rPr>
        <w:t xml:space="preserve"> počet zdrojů bude spadat do mechanismu </w:t>
      </w:r>
      <w:r w:rsidR="00777AA3">
        <w:rPr>
          <w:sz w:val="24"/>
          <w:szCs w:val="24"/>
        </w:rPr>
        <w:t xml:space="preserve">kontroly přiměřenosti podpory </w:t>
      </w:r>
      <w:r w:rsidRPr="00736A84">
        <w:rPr>
          <w:sz w:val="24"/>
          <w:szCs w:val="24"/>
        </w:rPr>
        <w:t>v linii kontroly reprezentativního vzorku zdrojů</w:t>
      </w:r>
      <w:r>
        <w:rPr>
          <w:sz w:val="24"/>
          <w:szCs w:val="24"/>
        </w:rPr>
        <w:t>, což je 8,4</w:t>
      </w:r>
      <w:r w:rsidRPr="00736A84">
        <w:rPr>
          <w:sz w:val="24"/>
          <w:szCs w:val="24"/>
        </w:rPr>
        <w:t xml:space="preserve"> % z celkové počtu registrovaných podporovaných zdrojů OZE, které čerpají podporu.</w:t>
      </w:r>
    </w:p>
    <w:p w14:paraId="7AB96EA5" w14:textId="247060CE" w:rsidR="00043C77" w:rsidRDefault="00043C77" w:rsidP="000B4301">
      <w:pPr>
        <w:pStyle w:val="Odstavecseseznamem"/>
        <w:numPr>
          <w:ilvl w:val="0"/>
          <w:numId w:val="29"/>
        </w:numPr>
        <w:tabs>
          <w:tab w:val="left" w:pos="0"/>
        </w:tabs>
        <w:overflowPunct/>
        <w:autoSpaceDE/>
        <w:autoSpaceDN/>
        <w:adjustRightInd/>
        <w:spacing w:before="100" w:beforeAutospacing="1" w:after="100" w:afterAutospacing="1" w:line="276" w:lineRule="auto"/>
        <w:jc w:val="both"/>
        <w:textAlignment w:val="auto"/>
        <w:rPr>
          <w:sz w:val="24"/>
          <w:szCs w:val="24"/>
        </w:rPr>
      </w:pPr>
      <w:r>
        <w:rPr>
          <w:sz w:val="24"/>
          <w:szCs w:val="24"/>
        </w:rPr>
        <w:t>celkem 726</w:t>
      </w:r>
      <w:r w:rsidRPr="00736A84">
        <w:rPr>
          <w:sz w:val="24"/>
          <w:szCs w:val="24"/>
        </w:rPr>
        <w:t xml:space="preserve"> počet zdrojů bude spadat do mechanismu </w:t>
      </w:r>
      <w:r w:rsidR="00777AA3">
        <w:rPr>
          <w:sz w:val="24"/>
          <w:szCs w:val="24"/>
        </w:rPr>
        <w:t xml:space="preserve">kontroly přiměřenosti podpory </w:t>
      </w:r>
      <w:r w:rsidRPr="00736A84">
        <w:rPr>
          <w:sz w:val="24"/>
          <w:szCs w:val="24"/>
        </w:rPr>
        <w:t xml:space="preserve">v linii </w:t>
      </w:r>
      <w:r>
        <w:rPr>
          <w:sz w:val="24"/>
          <w:szCs w:val="24"/>
        </w:rPr>
        <w:t xml:space="preserve">individuální </w:t>
      </w:r>
      <w:r w:rsidRPr="00736A84">
        <w:rPr>
          <w:sz w:val="24"/>
          <w:szCs w:val="24"/>
        </w:rPr>
        <w:t>kontroly zdrojů</w:t>
      </w:r>
      <w:r>
        <w:rPr>
          <w:sz w:val="24"/>
          <w:szCs w:val="24"/>
        </w:rPr>
        <w:t>, což je 2,3</w:t>
      </w:r>
      <w:r w:rsidRPr="00736A84">
        <w:rPr>
          <w:sz w:val="24"/>
          <w:szCs w:val="24"/>
        </w:rPr>
        <w:t xml:space="preserve"> % z celkové počtu registrovaných podporovaných zdrojů OZE, které čerpají podporu.</w:t>
      </w:r>
    </w:p>
    <w:p w14:paraId="09051A9C" w14:textId="77777777" w:rsidR="00ED1764" w:rsidRDefault="00ED1764" w:rsidP="00213BA3">
      <w:pPr>
        <w:tabs>
          <w:tab w:val="left" w:pos="6640"/>
        </w:tabs>
        <w:spacing w:after="0" w:line="240" w:lineRule="auto"/>
        <w:jc w:val="both"/>
        <w:rPr>
          <w:b/>
          <w:sz w:val="24"/>
          <w:szCs w:val="24"/>
          <w:u w:val="single"/>
        </w:rPr>
      </w:pPr>
    </w:p>
    <w:p w14:paraId="7C828AAE" w14:textId="77777777" w:rsidR="009A2A93" w:rsidRDefault="009A2A93" w:rsidP="00213BA3">
      <w:pPr>
        <w:tabs>
          <w:tab w:val="left" w:pos="6640"/>
        </w:tabs>
        <w:spacing w:after="0" w:line="240" w:lineRule="auto"/>
        <w:jc w:val="both"/>
        <w:rPr>
          <w:b/>
          <w:sz w:val="24"/>
          <w:szCs w:val="24"/>
          <w:u w:val="single"/>
        </w:rPr>
      </w:pPr>
    </w:p>
    <w:p w14:paraId="1758E080" w14:textId="77777777" w:rsidR="006A3E80" w:rsidRDefault="006A3E80" w:rsidP="00213BA3">
      <w:pPr>
        <w:tabs>
          <w:tab w:val="left" w:pos="6640"/>
        </w:tabs>
        <w:spacing w:after="0" w:line="240" w:lineRule="auto"/>
        <w:jc w:val="both"/>
        <w:rPr>
          <w:b/>
          <w:sz w:val="24"/>
          <w:szCs w:val="24"/>
          <w:u w:val="single"/>
        </w:rPr>
      </w:pPr>
    </w:p>
    <w:p w14:paraId="0123D97D" w14:textId="77777777" w:rsidR="00497BA4" w:rsidRDefault="00497BA4" w:rsidP="00213BA3">
      <w:pPr>
        <w:tabs>
          <w:tab w:val="left" w:pos="6640"/>
        </w:tabs>
        <w:spacing w:after="0" w:line="240" w:lineRule="auto"/>
        <w:jc w:val="both"/>
        <w:rPr>
          <w:b/>
          <w:sz w:val="24"/>
          <w:szCs w:val="24"/>
          <w:u w:val="single"/>
        </w:rPr>
      </w:pPr>
    </w:p>
    <w:p w14:paraId="575B45FC" w14:textId="77777777" w:rsidR="00497BA4" w:rsidRDefault="00497BA4" w:rsidP="00213BA3">
      <w:pPr>
        <w:tabs>
          <w:tab w:val="left" w:pos="6640"/>
        </w:tabs>
        <w:spacing w:after="0" w:line="240" w:lineRule="auto"/>
        <w:jc w:val="both"/>
        <w:rPr>
          <w:b/>
          <w:sz w:val="24"/>
          <w:szCs w:val="24"/>
          <w:u w:val="single"/>
        </w:rPr>
      </w:pPr>
    </w:p>
    <w:p w14:paraId="6398A984" w14:textId="77777777" w:rsidR="00497BA4" w:rsidRDefault="00497BA4" w:rsidP="00213BA3">
      <w:pPr>
        <w:tabs>
          <w:tab w:val="left" w:pos="6640"/>
        </w:tabs>
        <w:spacing w:after="0" w:line="240" w:lineRule="auto"/>
        <w:jc w:val="both"/>
        <w:rPr>
          <w:b/>
          <w:sz w:val="24"/>
          <w:szCs w:val="24"/>
          <w:u w:val="single"/>
        </w:rPr>
      </w:pPr>
    </w:p>
    <w:p w14:paraId="72AC1181" w14:textId="77777777" w:rsidR="00497BA4" w:rsidRDefault="00497BA4" w:rsidP="00213BA3">
      <w:pPr>
        <w:tabs>
          <w:tab w:val="left" w:pos="6640"/>
        </w:tabs>
        <w:spacing w:after="0" w:line="240" w:lineRule="auto"/>
        <w:jc w:val="both"/>
        <w:rPr>
          <w:b/>
          <w:sz w:val="24"/>
          <w:szCs w:val="24"/>
          <w:u w:val="single"/>
        </w:rPr>
      </w:pPr>
    </w:p>
    <w:p w14:paraId="4E2878EC" w14:textId="77777777" w:rsidR="00497BA4" w:rsidRDefault="00497BA4" w:rsidP="00213BA3">
      <w:pPr>
        <w:tabs>
          <w:tab w:val="left" w:pos="6640"/>
        </w:tabs>
        <w:spacing w:after="0" w:line="240" w:lineRule="auto"/>
        <w:jc w:val="both"/>
        <w:rPr>
          <w:b/>
          <w:sz w:val="24"/>
          <w:szCs w:val="24"/>
          <w:u w:val="single"/>
        </w:rPr>
      </w:pPr>
    </w:p>
    <w:p w14:paraId="01B3E7B4" w14:textId="77777777" w:rsidR="00497BA4" w:rsidRDefault="00497BA4" w:rsidP="00213BA3">
      <w:pPr>
        <w:tabs>
          <w:tab w:val="left" w:pos="6640"/>
        </w:tabs>
        <w:spacing w:after="0" w:line="240" w:lineRule="auto"/>
        <w:jc w:val="both"/>
        <w:rPr>
          <w:b/>
          <w:sz w:val="24"/>
          <w:szCs w:val="24"/>
          <w:u w:val="single"/>
        </w:rPr>
      </w:pPr>
    </w:p>
    <w:p w14:paraId="6DCCA26E" w14:textId="77777777" w:rsidR="00497BA4" w:rsidRDefault="00497BA4" w:rsidP="00213BA3">
      <w:pPr>
        <w:tabs>
          <w:tab w:val="left" w:pos="6640"/>
        </w:tabs>
        <w:spacing w:after="0" w:line="240" w:lineRule="auto"/>
        <w:jc w:val="both"/>
        <w:rPr>
          <w:b/>
          <w:sz w:val="24"/>
          <w:szCs w:val="24"/>
          <w:u w:val="single"/>
        </w:rPr>
      </w:pPr>
    </w:p>
    <w:p w14:paraId="6DDF65D0" w14:textId="77777777" w:rsidR="0009346E" w:rsidRDefault="0009346E" w:rsidP="00213BA3">
      <w:pPr>
        <w:tabs>
          <w:tab w:val="left" w:pos="6640"/>
        </w:tabs>
        <w:spacing w:after="0" w:line="240" w:lineRule="auto"/>
        <w:jc w:val="both"/>
        <w:rPr>
          <w:b/>
          <w:sz w:val="24"/>
          <w:szCs w:val="24"/>
          <w:u w:val="single"/>
        </w:rPr>
      </w:pPr>
    </w:p>
    <w:p w14:paraId="2E51CC6F" w14:textId="77777777" w:rsidR="0009346E" w:rsidRDefault="0009346E" w:rsidP="00213BA3">
      <w:pPr>
        <w:tabs>
          <w:tab w:val="left" w:pos="6640"/>
        </w:tabs>
        <w:spacing w:after="0" w:line="240" w:lineRule="auto"/>
        <w:jc w:val="both"/>
        <w:rPr>
          <w:b/>
          <w:sz w:val="24"/>
          <w:szCs w:val="24"/>
          <w:u w:val="single"/>
        </w:rPr>
      </w:pPr>
    </w:p>
    <w:p w14:paraId="131C7925" w14:textId="77777777" w:rsidR="0009346E" w:rsidRDefault="0009346E" w:rsidP="00213BA3">
      <w:pPr>
        <w:tabs>
          <w:tab w:val="left" w:pos="6640"/>
        </w:tabs>
        <w:spacing w:after="0" w:line="240" w:lineRule="auto"/>
        <w:jc w:val="both"/>
        <w:rPr>
          <w:b/>
          <w:sz w:val="24"/>
          <w:szCs w:val="24"/>
          <w:u w:val="single"/>
        </w:rPr>
      </w:pPr>
    </w:p>
    <w:p w14:paraId="46604A78" w14:textId="77777777" w:rsidR="0009346E" w:rsidRDefault="0009346E" w:rsidP="00213BA3">
      <w:pPr>
        <w:tabs>
          <w:tab w:val="left" w:pos="6640"/>
        </w:tabs>
        <w:spacing w:after="0" w:line="240" w:lineRule="auto"/>
        <w:jc w:val="both"/>
        <w:rPr>
          <w:b/>
          <w:sz w:val="24"/>
          <w:szCs w:val="24"/>
          <w:u w:val="single"/>
        </w:rPr>
      </w:pPr>
    </w:p>
    <w:p w14:paraId="23FDE31F" w14:textId="77777777" w:rsidR="00C07DEA" w:rsidRDefault="00C07DEA" w:rsidP="00213BA3">
      <w:pPr>
        <w:tabs>
          <w:tab w:val="left" w:pos="6640"/>
        </w:tabs>
        <w:spacing w:after="0" w:line="240" w:lineRule="auto"/>
        <w:jc w:val="both"/>
        <w:rPr>
          <w:b/>
          <w:sz w:val="24"/>
          <w:szCs w:val="24"/>
          <w:u w:val="single"/>
        </w:rPr>
      </w:pPr>
    </w:p>
    <w:p w14:paraId="4457F81A" w14:textId="3106DB40" w:rsidR="00213BA3" w:rsidRPr="00FD48F4" w:rsidRDefault="00213BA3" w:rsidP="000B4301">
      <w:pPr>
        <w:pStyle w:val="Nadpis1"/>
        <w:numPr>
          <w:ilvl w:val="0"/>
          <w:numId w:val="24"/>
        </w:numPr>
        <w:ind w:left="567" w:hanging="567"/>
        <w:rPr>
          <w:rFonts w:asciiTheme="majorHAnsi" w:hAnsiTheme="majorHAnsi"/>
          <w:sz w:val="32"/>
          <w:szCs w:val="32"/>
        </w:rPr>
      </w:pPr>
      <w:bookmarkStart w:id="9" w:name="_Toc476517923"/>
      <w:r w:rsidRPr="00FD48F4">
        <w:rPr>
          <w:rFonts w:asciiTheme="majorHAnsi" w:hAnsiTheme="majorHAnsi"/>
          <w:sz w:val="32"/>
          <w:szCs w:val="32"/>
        </w:rPr>
        <w:t>Shrnutí dopadů</w:t>
      </w:r>
      <w:bookmarkEnd w:id="9"/>
    </w:p>
    <w:p w14:paraId="0E3E779E" w14:textId="063E78D6" w:rsidR="00043C77" w:rsidRDefault="00043C77" w:rsidP="006A3E80">
      <w:pPr>
        <w:tabs>
          <w:tab w:val="left" w:pos="0"/>
        </w:tabs>
        <w:overflowPunct/>
        <w:autoSpaceDE/>
        <w:autoSpaceDN/>
        <w:adjustRightInd/>
        <w:spacing w:before="100" w:beforeAutospacing="1" w:after="100" w:afterAutospacing="1" w:line="276" w:lineRule="auto"/>
        <w:jc w:val="both"/>
        <w:textAlignment w:val="auto"/>
        <w:rPr>
          <w:sz w:val="24"/>
          <w:szCs w:val="24"/>
        </w:rPr>
      </w:pPr>
      <w:r w:rsidRPr="00736A84">
        <w:rPr>
          <w:b/>
          <w:sz w:val="24"/>
          <w:szCs w:val="24"/>
        </w:rPr>
        <w:t>Celkový počet  zdrojů, které spad</w:t>
      </w:r>
      <w:r>
        <w:rPr>
          <w:b/>
          <w:sz w:val="24"/>
          <w:szCs w:val="24"/>
        </w:rPr>
        <w:t>a</w:t>
      </w:r>
      <w:r w:rsidRPr="00736A84">
        <w:rPr>
          <w:b/>
          <w:sz w:val="24"/>
          <w:szCs w:val="24"/>
        </w:rPr>
        <w:t xml:space="preserve">jí pod rozhodnutí </w:t>
      </w:r>
      <w:r w:rsidR="00BD4871">
        <w:rPr>
          <w:b/>
          <w:sz w:val="24"/>
          <w:szCs w:val="24"/>
        </w:rPr>
        <w:t xml:space="preserve">Evropské komise </w:t>
      </w:r>
      <w:r w:rsidRPr="00736A84">
        <w:rPr>
          <w:b/>
          <w:sz w:val="24"/>
          <w:szCs w:val="24"/>
        </w:rPr>
        <w:t>SA. 35177 a SA. 40171</w:t>
      </w:r>
      <w:r w:rsidR="0015410E">
        <w:rPr>
          <w:b/>
          <w:sz w:val="24"/>
          <w:szCs w:val="24"/>
        </w:rPr>
        <w:t>,</w:t>
      </w:r>
      <w:r w:rsidRPr="00043C77">
        <w:rPr>
          <w:b/>
          <w:sz w:val="24"/>
          <w:szCs w:val="24"/>
        </w:rPr>
        <w:t xml:space="preserve"> na které by se měl</w:t>
      </w:r>
      <w:r w:rsidRPr="00736A84">
        <w:rPr>
          <w:b/>
          <w:sz w:val="24"/>
          <w:szCs w:val="24"/>
        </w:rPr>
        <w:t xml:space="preserve"> vztahovat mechanismus</w:t>
      </w:r>
      <w:r w:rsidR="00777AA3">
        <w:rPr>
          <w:b/>
          <w:sz w:val="24"/>
          <w:szCs w:val="24"/>
        </w:rPr>
        <w:t xml:space="preserve"> kontroly přiměřenosti podpory</w:t>
      </w:r>
      <w:r w:rsidR="0015410E">
        <w:rPr>
          <w:b/>
          <w:sz w:val="24"/>
          <w:szCs w:val="24"/>
        </w:rPr>
        <w:t>,</w:t>
      </w:r>
      <w:r w:rsidRPr="00736A84">
        <w:rPr>
          <w:b/>
          <w:sz w:val="24"/>
          <w:szCs w:val="24"/>
        </w:rPr>
        <w:t xml:space="preserve"> je 3 349. Tyto zdroje čerpaly v roce 2015 podporu elektřiny z OZE ve výši 36,64 mld. Kč.</w:t>
      </w:r>
      <w:r w:rsidRPr="00736A84">
        <w:rPr>
          <w:sz w:val="24"/>
          <w:szCs w:val="24"/>
        </w:rPr>
        <w:t xml:space="preserve"> Jedná se o 10,79 % z celkové počtu registrovaných podporovaných zdrojů OZE a tento počet zdrojů čerpal v roce 2015  podporu ve výši 89,2 % z celkově vyplacené podpory za rok 2015. Z</w:t>
      </w:r>
      <w:r>
        <w:rPr>
          <w:sz w:val="24"/>
          <w:szCs w:val="24"/>
        </w:rPr>
        <w:t> </w:t>
      </w:r>
      <w:r w:rsidRPr="00736A84">
        <w:rPr>
          <w:sz w:val="24"/>
          <w:szCs w:val="24"/>
        </w:rPr>
        <w:t>toho</w:t>
      </w:r>
      <w:r>
        <w:rPr>
          <w:sz w:val="24"/>
          <w:szCs w:val="24"/>
        </w:rPr>
        <w:t>to celkového počtu zdrojů</w:t>
      </w:r>
      <w:r w:rsidR="00EA3286">
        <w:rPr>
          <w:sz w:val="24"/>
          <w:szCs w:val="24"/>
        </w:rPr>
        <w:t>:</w:t>
      </w:r>
      <w:r>
        <w:rPr>
          <w:sz w:val="24"/>
          <w:szCs w:val="24"/>
        </w:rPr>
        <w:t xml:space="preserve"> </w:t>
      </w:r>
    </w:p>
    <w:p w14:paraId="0D7FACE3" w14:textId="25AE4D7C" w:rsidR="00043C77" w:rsidRDefault="00043C77" w:rsidP="000B4301">
      <w:pPr>
        <w:pStyle w:val="Odstavecseseznamem"/>
        <w:numPr>
          <w:ilvl w:val="0"/>
          <w:numId w:val="21"/>
        </w:numPr>
        <w:tabs>
          <w:tab w:val="left" w:pos="0"/>
        </w:tabs>
        <w:overflowPunct/>
        <w:autoSpaceDE/>
        <w:autoSpaceDN/>
        <w:adjustRightInd/>
        <w:spacing w:before="100" w:beforeAutospacing="1" w:after="100" w:afterAutospacing="1" w:line="276" w:lineRule="auto"/>
        <w:jc w:val="both"/>
        <w:textAlignment w:val="auto"/>
        <w:rPr>
          <w:sz w:val="24"/>
          <w:szCs w:val="24"/>
        </w:rPr>
      </w:pPr>
      <w:r>
        <w:rPr>
          <w:sz w:val="24"/>
          <w:szCs w:val="24"/>
        </w:rPr>
        <w:t xml:space="preserve">celkem </w:t>
      </w:r>
      <w:r w:rsidRPr="00736A84">
        <w:rPr>
          <w:sz w:val="24"/>
          <w:szCs w:val="24"/>
        </w:rPr>
        <w:t xml:space="preserve">1 488 počet zdrojů bude spadat do mechanismu </w:t>
      </w:r>
      <w:r w:rsidR="00777AA3">
        <w:rPr>
          <w:sz w:val="24"/>
          <w:szCs w:val="24"/>
        </w:rPr>
        <w:t xml:space="preserve">kontroly přiměřenosti podpory </w:t>
      </w:r>
      <w:r w:rsidRPr="00736A84">
        <w:rPr>
          <w:sz w:val="24"/>
          <w:szCs w:val="24"/>
        </w:rPr>
        <w:t>v linii kontroly reprezentativního vzorku zdrojů, což je 4,79 % z celkové počtu registrovaných podporovaných zdrojů OZE, které čerpají podporu.</w:t>
      </w:r>
    </w:p>
    <w:p w14:paraId="761834B0" w14:textId="2ADF5A2D" w:rsidR="00043C77" w:rsidRDefault="00043C77" w:rsidP="000B4301">
      <w:pPr>
        <w:pStyle w:val="Odstavecseseznamem"/>
        <w:numPr>
          <w:ilvl w:val="0"/>
          <w:numId w:val="21"/>
        </w:numPr>
        <w:tabs>
          <w:tab w:val="left" w:pos="0"/>
        </w:tabs>
        <w:overflowPunct/>
        <w:autoSpaceDE/>
        <w:autoSpaceDN/>
        <w:adjustRightInd/>
        <w:spacing w:before="100" w:beforeAutospacing="1" w:after="100" w:afterAutospacing="1" w:line="276" w:lineRule="auto"/>
        <w:jc w:val="both"/>
        <w:textAlignment w:val="auto"/>
        <w:rPr>
          <w:sz w:val="24"/>
          <w:szCs w:val="24"/>
        </w:rPr>
      </w:pPr>
      <w:r>
        <w:rPr>
          <w:sz w:val="24"/>
          <w:szCs w:val="24"/>
        </w:rPr>
        <w:t xml:space="preserve">celkem </w:t>
      </w:r>
      <w:r w:rsidRPr="00736A84">
        <w:rPr>
          <w:sz w:val="24"/>
          <w:szCs w:val="24"/>
        </w:rPr>
        <w:t>1 </w:t>
      </w:r>
      <w:r>
        <w:rPr>
          <w:sz w:val="24"/>
          <w:szCs w:val="24"/>
        </w:rPr>
        <w:t>861</w:t>
      </w:r>
      <w:r w:rsidRPr="00736A84">
        <w:rPr>
          <w:sz w:val="24"/>
          <w:szCs w:val="24"/>
        </w:rPr>
        <w:t xml:space="preserve"> počet zdrojů bude spadat do mechanismu </w:t>
      </w:r>
      <w:r w:rsidR="00777AA3">
        <w:rPr>
          <w:sz w:val="24"/>
          <w:szCs w:val="24"/>
        </w:rPr>
        <w:t xml:space="preserve">kontroly přiměřenosti podpory </w:t>
      </w:r>
      <w:r w:rsidRPr="00736A84">
        <w:rPr>
          <w:sz w:val="24"/>
          <w:szCs w:val="24"/>
        </w:rPr>
        <w:t xml:space="preserve">v linii </w:t>
      </w:r>
      <w:r>
        <w:rPr>
          <w:sz w:val="24"/>
          <w:szCs w:val="24"/>
        </w:rPr>
        <w:t xml:space="preserve">individuální </w:t>
      </w:r>
      <w:r w:rsidRPr="00736A84">
        <w:rPr>
          <w:sz w:val="24"/>
          <w:szCs w:val="24"/>
        </w:rPr>
        <w:t>kontroly zdrojů</w:t>
      </w:r>
      <w:r>
        <w:rPr>
          <w:sz w:val="24"/>
          <w:szCs w:val="24"/>
        </w:rPr>
        <w:t>, což je 5,99</w:t>
      </w:r>
      <w:r w:rsidRPr="00736A84">
        <w:rPr>
          <w:sz w:val="24"/>
          <w:szCs w:val="24"/>
        </w:rPr>
        <w:t xml:space="preserve"> % z celkové počtu registrovaných podporovaných zdrojů OZE, které čerpají podporu.</w:t>
      </w:r>
    </w:p>
    <w:p w14:paraId="4544E4E3" w14:textId="7C6A7F7E" w:rsidR="008C0E58" w:rsidRDefault="008C0E58" w:rsidP="006A3E80">
      <w:pPr>
        <w:tabs>
          <w:tab w:val="left" w:pos="0"/>
        </w:tabs>
        <w:overflowPunct/>
        <w:autoSpaceDE/>
        <w:autoSpaceDN/>
        <w:adjustRightInd/>
        <w:spacing w:before="100" w:beforeAutospacing="1" w:after="100" w:afterAutospacing="1" w:line="276" w:lineRule="auto"/>
        <w:jc w:val="both"/>
        <w:textAlignment w:val="auto"/>
        <w:rPr>
          <w:sz w:val="24"/>
          <w:szCs w:val="24"/>
        </w:rPr>
      </w:pPr>
      <w:r>
        <w:rPr>
          <w:sz w:val="24"/>
          <w:szCs w:val="24"/>
        </w:rPr>
        <w:t>P</w:t>
      </w:r>
      <w:r w:rsidRPr="004713EF">
        <w:rPr>
          <w:sz w:val="24"/>
          <w:szCs w:val="24"/>
        </w:rPr>
        <w:t>okud by platil předpoklad, že podpora decentrální výroby elektřiny</w:t>
      </w:r>
      <w:r w:rsidR="00C14EDF">
        <w:rPr>
          <w:sz w:val="24"/>
          <w:szCs w:val="24"/>
        </w:rPr>
        <w:t xml:space="preserve"> „generuje“ hodnotu IRR ve výši 0,1 %, </w:t>
      </w:r>
      <w:r w:rsidRPr="004713EF">
        <w:rPr>
          <w:b/>
          <w:sz w:val="24"/>
          <w:szCs w:val="24"/>
        </w:rPr>
        <w:t>mohlo by dojít k přesunu celkem 1 135 zdrojů z individuální kontroly zdrojů (z původního celkového počtu 1 861 zdrojů) do kontroly v linii reprezentativního vzorku zdrojů.</w:t>
      </w:r>
      <w:r>
        <w:rPr>
          <w:sz w:val="24"/>
          <w:szCs w:val="24"/>
        </w:rPr>
        <w:t xml:space="preserve"> </w:t>
      </w:r>
      <w:r w:rsidRPr="004713EF">
        <w:rPr>
          <w:sz w:val="24"/>
          <w:szCs w:val="24"/>
        </w:rPr>
        <w:t xml:space="preserve">Celkový počet zdrojů na které by se měl vztahovat mechanismus </w:t>
      </w:r>
      <w:r w:rsidR="00777AA3">
        <w:rPr>
          <w:sz w:val="24"/>
          <w:szCs w:val="24"/>
        </w:rPr>
        <w:t xml:space="preserve">kontroly přiměřenosti podpory </w:t>
      </w:r>
      <w:r w:rsidRPr="004713EF">
        <w:rPr>
          <w:sz w:val="24"/>
          <w:szCs w:val="24"/>
        </w:rPr>
        <w:t xml:space="preserve">by tedy byl 3 349 zdrojů s následujícím rozdělením: </w:t>
      </w:r>
    </w:p>
    <w:p w14:paraId="7F0D9FF1" w14:textId="5D48E741" w:rsidR="008C0E58" w:rsidRDefault="008C0E58" w:rsidP="000B4301">
      <w:pPr>
        <w:pStyle w:val="Odstavecseseznamem"/>
        <w:numPr>
          <w:ilvl w:val="0"/>
          <w:numId w:val="31"/>
        </w:numPr>
        <w:tabs>
          <w:tab w:val="left" w:pos="0"/>
        </w:tabs>
        <w:overflowPunct/>
        <w:autoSpaceDE/>
        <w:autoSpaceDN/>
        <w:adjustRightInd/>
        <w:spacing w:before="100" w:beforeAutospacing="1" w:after="100" w:afterAutospacing="1" w:line="276" w:lineRule="auto"/>
        <w:ind w:left="426" w:hanging="426"/>
        <w:jc w:val="both"/>
        <w:textAlignment w:val="auto"/>
        <w:rPr>
          <w:sz w:val="24"/>
          <w:szCs w:val="24"/>
        </w:rPr>
      </w:pPr>
      <w:r>
        <w:rPr>
          <w:sz w:val="24"/>
          <w:szCs w:val="24"/>
        </w:rPr>
        <w:lastRenderedPageBreak/>
        <w:t>celkem 2 613</w:t>
      </w:r>
      <w:r w:rsidRPr="00736A84">
        <w:rPr>
          <w:sz w:val="24"/>
          <w:szCs w:val="24"/>
        </w:rPr>
        <w:t xml:space="preserve"> počet zdrojů bude spadat do mechanismu </w:t>
      </w:r>
      <w:r w:rsidR="00777AA3">
        <w:rPr>
          <w:sz w:val="24"/>
          <w:szCs w:val="24"/>
        </w:rPr>
        <w:t xml:space="preserve">kontroly přiměřenosti podpory </w:t>
      </w:r>
      <w:r w:rsidRPr="00736A84">
        <w:rPr>
          <w:sz w:val="24"/>
          <w:szCs w:val="24"/>
        </w:rPr>
        <w:t xml:space="preserve">v linii kontroly </w:t>
      </w:r>
      <w:r w:rsidR="007F7648" w:rsidRPr="00736A84">
        <w:rPr>
          <w:sz w:val="24"/>
          <w:szCs w:val="24"/>
        </w:rPr>
        <w:t>reprezentativního</w:t>
      </w:r>
      <w:r w:rsidRPr="00736A84">
        <w:rPr>
          <w:sz w:val="24"/>
          <w:szCs w:val="24"/>
        </w:rPr>
        <w:t xml:space="preserve"> vzorku zdrojů</w:t>
      </w:r>
      <w:r>
        <w:rPr>
          <w:sz w:val="24"/>
          <w:szCs w:val="24"/>
        </w:rPr>
        <w:t>, což je 8,4</w:t>
      </w:r>
      <w:r w:rsidRPr="00736A84">
        <w:rPr>
          <w:sz w:val="24"/>
          <w:szCs w:val="24"/>
        </w:rPr>
        <w:t xml:space="preserve"> % z celkové počtu registrovaných podporovaných zdrojů OZE, které čerpají podporu.</w:t>
      </w:r>
    </w:p>
    <w:p w14:paraId="48BDEBB1" w14:textId="41264139" w:rsidR="008C0E58" w:rsidRDefault="008C0E58" w:rsidP="000B4301">
      <w:pPr>
        <w:pStyle w:val="Odstavecseseznamem"/>
        <w:numPr>
          <w:ilvl w:val="0"/>
          <w:numId w:val="31"/>
        </w:numPr>
        <w:tabs>
          <w:tab w:val="left" w:pos="0"/>
        </w:tabs>
        <w:overflowPunct/>
        <w:autoSpaceDE/>
        <w:autoSpaceDN/>
        <w:adjustRightInd/>
        <w:spacing w:before="100" w:beforeAutospacing="1" w:after="100" w:afterAutospacing="1" w:line="276" w:lineRule="auto"/>
        <w:ind w:left="426" w:hanging="426"/>
        <w:jc w:val="both"/>
        <w:textAlignment w:val="auto"/>
        <w:rPr>
          <w:sz w:val="24"/>
          <w:szCs w:val="24"/>
        </w:rPr>
      </w:pPr>
      <w:r>
        <w:rPr>
          <w:sz w:val="24"/>
          <w:szCs w:val="24"/>
        </w:rPr>
        <w:t>celkem 726</w:t>
      </w:r>
      <w:r w:rsidRPr="00736A84">
        <w:rPr>
          <w:sz w:val="24"/>
          <w:szCs w:val="24"/>
        </w:rPr>
        <w:t xml:space="preserve"> počet zdrojů bude spadat do mechanismu </w:t>
      </w:r>
      <w:r w:rsidR="00777AA3">
        <w:rPr>
          <w:sz w:val="24"/>
          <w:szCs w:val="24"/>
        </w:rPr>
        <w:t xml:space="preserve">kontroly přiměřenosti podpory </w:t>
      </w:r>
      <w:r w:rsidRPr="00736A84">
        <w:rPr>
          <w:sz w:val="24"/>
          <w:szCs w:val="24"/>
        </w:rPr>
        <w:t xml:space="preserve">v linii </w:t>
      </w:r>
      <w:r>
        <w:rPr>
          <w:sz w:val="24"/>
          <w:szCs w:val="24"/>
        </w:rPr>
        <w:t xml:space="preserve">individuální </w:t>
      </w:r>
      <w:r w:rsidRPr="00736A84">
        <w:rPr>
          <w:sz w:val="24"/>
          <w:szCs w:val="24"/>
        </w:rPr>
        <w:t>kontroly zdrojů</w:t>
      </w:r>
      <w:r>
        <w:rPr>
          <w:sz w:val="24"/>
          <w:szCs w:val="24"/>
        </w:rPr>
        <w:t>, což je 2,3</w:t>
      </w:r>
      <w:r w:rsidRPr="00736A84">
        <w:rPr>
          <w:sz w:val="24"/>
          <w:szCs w:val="24"/>
        </w:rPr>
        <w:t xml:space="preserve"> % z celkové počtu registrovaných podporovaných zdrojů OZE, které čerpají podporu.</w:t>
      </w:r>
    </w:p>
    <w:p w14:paraId="18974335" w14:textId="50DC891F" w:rsidR="00812818" w:rsidRPr="000B4301" w:rsidRDefault="00812818" w:rsidP="000B4301">
      <w:pPr>
        <w:tabs>
          <w:tab w:val="left" w:pos="0"/>
        </w:tabs>
        <w:overflowPunct/>
        <w:autoSpaceDE/>
        <w:autoSpaceDN/>
        <w:adjustRightInd/>
        <w:spacing w:before="100" w:beforeAutospacing="1" w:after="100" w:afterAutospacing="1" w:line="276" w:lineRule="auto"/>
        <w:jc w:val="both"/>
        <w:textAlignment w:val="auto"/>
        <w:rPr>
          <w:sz w:val="24"/>
          <w:szCs w:val="24"/>
        </w:rPr>
      </w:pPr>
      <w:r>
        <w:rPr>
          <w:sz w:val="24"/>
          <w:szCs w:val="24"/>
        </w:rPr>
        <w:t>V této souvislo</w:t>
      </w:r>
      <w:r w:rsidR="007F7648">
        <w:rPr>
          <w:sz w:val="24"/>
          <w:szCs w:val="24"/>
        </w:rPr>
        <w:t>s</w:t>
      </w:r>
      <w:r>
        <w:rPr>
          <w:sz w:val="24"/>
          <w:szCs w:val="24"/>
        </w:rPr>
        <w:t>ti</w:t>
      </w:r>
      <w:r w:rsidRPr="000B4301">
        <w:rPr>
          <w:sz w:val="24"/>
          <w:szCs w:val="24"/>
        </w:rPr>
        <w:t xml:space="preserve"> bude potřeba informační systém operátora trhu upravit tak, aby mohl být propojen (nebo čerpat informace) z centrálního registru podpory de minimis tak, aby mohlo docházet ze stany operátora trhu k přesnému vymezení jednotlivých zdrojů a subjektů čerpajících podporu pod hranici </w:t>
      </w:r>
      <w:r w:rsidR="00CA6528">
        <w:rPr>
          <w:sz w:val="24"/>
          <w:szCs w:val="24"/>
        </w:rPr>
        <w:t>„</w:t>
      </w:r>
      <w:r w:rsidRPr="000B4301">
        <w:rPr>
          <w:sz w:val="24"/>
          <w:szCs w:val="24"/>
        </w:rPr>
        <w:t>de minimis“ ve smyslu nařízení Komise (EU) č. 1407/2013 ze dne 18. prosince 2013 o použití článků 107 a 108 Smlouvy o fungování Evropské unie na podporu de minimis. Operátor trhu má o daném subjektu informace pouze o čerpané provozní podpoře anebo investiční podpoře za zdroj nebo celý subjekt (výrobce elektřiny z OZE), a z toho také vyplývají výsledky o rozsahu a dopadu navrženého kontrolního mech</w:t>
      </w:r>
      <w:r w:rsidR="007F7648">
        <w:rPr>
          <w:sz w:val="24"/>
          <w:szCs w:val="24"/>
        </w:rPr>
        <w:t>a</w:t>
      </w:r>
      <w:r w:rsidRPr="000B4301">
        <w:rPr>
          <w:sz w:val="24"/>
          <w:szCs w:val="24"/>
        </w:rPr>
        <w:t>nismu v tomto materiálu. Subjektu čerpající podporu však mohla být udělena také další veřejná podpora (např. ze zemědělského sektoru na obdělávanou/neobdělávanou půdu, na živočišnou výrobu apod.), kdy i tuto podporu je potřeba do hodnoty de minimis zahrnout. Uvedenými informacemi operátor trhu nedisponuje.</w:t>
      </w:r>
    </w:p>
    <w:p w14:paraId="67FD18AD" w14:textId="30026D65" w:rsidR="00537F12" w:rsidRDefault="004D668D" w:rsidP="00305999">
      <w:pPr>
        <w:tabs>
          <w:tab w:val="left" w:pos="6640"/>
        </w:tabs>
        <w:spacing w:after="0" w:line="240" w:lineRule="auto"/>
        <w:jc w:val="both"/>
        <w:rPr>
          <w:sz w:val="24"/>
          <w:szCs w:val="24"/>
          <w:u w:val="single"/>
        </w:rPr>
      </w:pPr>
      <w:r>
        <w:rPr>
          <w:noProof/>
        </w:rPr>
        <w:drawing>
          <wp:anchor distT="0" distB="0" distL="114300" distR="114300" simplePos="0" relativeHeight="251753472" behindDoc="0" locked="0" layoutInCell="1" allowOverlap="1" wp14:anchorId="4C2256E1" wp14:editId="30BFFF0D">
            <wp:simplePos x="0" y="0"/>
            <wp:positionH relativeFrom="column">
              <wp:posOffset>0</wp:posOffset>
            </wp:positionH>
            <wp:positionV relativeFrom="paragraph">
              <wp:posOffset>187325</wp:posOffset>
            </wp:positionV>
            <wp:extent cx="5680710" cy="3599815"/>
            <wp:effectExtent l="0" t="0" r="15240" b="635"/>
            <wp:wrapTopAndBottom/>
            <wp:docPr id="161" name="Graf 16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14:paraId="23D16370" w14:textId="0BACB7EB" w:rsidR="00537F12" w:rsidRPr="00A118DD" w:rsidRDefault="004D668D" w:rsidP="00A118DD">
      <w:pPr>
        <w:tabs>
          <w:tab w:val="left" w:pos="6640"/>
        </w:tabs>
        <w:spacing w:after="0" w:line="240" w:lineRule="auto"/>
        <w:jc w:val="right"/>
        <w:rPr>
          <w:sz w:val="24"/>
          <w:szCs w:val="24"/>
        </w:rPr>
      </w:pPr>
      <w:r w:rsidRPr="00A118DD">
        <w:rPr>
          <w:sz w:val="24"/>
          <w:szCs w:val="24"/>
          <w:u w:val="single"/>
        </w:rPr>
        <w:t>Z</w:t>
      </w:r>
      <w:r w:rsidR="00EF3A36" w:rsidRPr="00A118DD">
        <w:rPr>
          <w:sz w:val="24"/>
          <w:szCs w:val="24"/>
          <w:u w:val="single"/>
        </w:rPr>
        <w:t>droj dat</w:t>
      </w:r>
      <w:r w:rsidRPr="00A118DD">
        <w:rPr>
          <w:sz w:val="24"/>
          <w:szCs w:val="24"/>
          <w:u w:val="single"/>
        </w:rPr>
        <w:t>:</w:t>
      </w:r>
      <w:r w:rsidRPr="00A118DD">
        <w:rPr>
          <w:sz w:val="24"/>
          <w:szCs w:val="24"/>
        </w:rPr>
        <w:t xml:space="preserve"> OTE, a.s., </w:t>
      </w:r>
      <w:r w:rsidRPr="00A118DD">
        <w:rPr>
          <w:sz w:val="24"/>
          <w:szCs w:val="24"/>
          <w:u w:val="single"/>
        </w:rPr>
        <w:t>zdroj grafu:</w:t>
      </w:r>
      <w:r w:rsidRPr="00A118DD">
        <w:rPr>
          <w:sz w:val="24"/>
          <w:szCs w:val="24"/>
        </w:rPr>
        <w:t xml:space="preserve"> MPO</w:t>
      </w:r>
    </w:p>
    <w:p w14:paraId="32E07C28" w14:textId="77777777" w:rsidR="00537F12" w:rsidRDefault="00537F12" w:rsidP="00305999">
      <w:pPr>
        <w:tabs>
          <w:tab w:val="left" w:pos="6640"/>
        </w:tabs>
        <w:spacing w:after="0" w:line="240" w:lineRule="auto"/>
        <w:jc w:val="both"/>
        <w:rPr>
          <w:sz w:val="24"/>
          <w:szCs w:val="24"/>
          <w:u w:val="single"/>
        </w:rPr>
      </w:pPr>
    </w:p>
    <w:p w14:paraId="0DF47B25" w14:textId="77777777" w:rsidR="001929F6" w:rsidRDefault="00545084" w:rsidP="006F176B">
      <w:pPr>
        <w:tabs>
          <w:tab w:val="left" w:pos="6640"/>
        </w:tabs>
        <w:spacing w:after="0" w:line="240" w:lineRule="auto"/>
        <w:jc w:val="both"/>
        <w:rPr>
          <w:b/>
          <w:sz w:val="24"/>
          <w:szCs w:val="24"/>
        </w:rPr>
      </w:pPr>
      <w:r>
        <w:rPr>
          <w:noProof/>
        </w:rPr>
        <w:lastRenderedPageBreak/>
        <w:drawing>
          <wp:inline distT="0" distB="0" distL="0" distR="0" wp14:anchorId="57705FE6" wp14:editId="07CA3D1B">
            <wp:extent cx="5687695" cy="3902400"/>
            <wp:effectExtent l="0" t="0" r="8255" b="3175"/>
            <wp:docPr id="162" name="Graf 16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74BA2AD" w14:textId="11B1FAA6" w:rsidR="004D668D" w:rsidRPr="00A118DD" w:rsidRDefault="004D668D" w:rsidP="00A118DD">
      <w:pPr>
        <w:tabs>
          <w:tab w:val="left" w:pos="6640"/>
        </w:tabs>
        <w:spacing w:after="0" w:line="240" w:lineRule="auto"/>
        <w:jc w:val="right"/>
        <w:rPr>
          <w:sz w:val="24"/>
          <w:szCs w:val="24"/>
        </w:rPr>
      </w:pPr>
      <w:r w:rsidRPr="00A118DD">
        <w:rPr>
          <w:sz w:val="24"/>
          <w:szCs w:val="24"/>
          <w:u w:val="single"/>
        </w:rPr>
        <w:t>Zdroj dat:</w:t>
      </w:r>
      <w:r w:rsidRPr="00A118DD">
        <w:rPr>
          <w:sz w:val="24"/>
          <w:szCs w:val="24"/>
        </w:rPr>
        <w:t xml:space="preserve"> OTE, a.s., </w:t>
      </w:r>
      <w:r w:rsidRPr="00A118DD">
        <w:rPr>
          <w:sz w:val="24"/>
          <w:szCs w:val="24"/>
          <w:u w:val="single"/>
        </w:rPr>
        <w:t>zdroj grafu:</w:t>
      </w:r>
      <w:r w:rsidRPr="00A118DD">
        <w:rPr>
          <w:sz w:val="24"/>
          <w:szCs w:val="24"/>
        </w:rPr>
        <w:t xml:space="preserve"> MPO</w:t>
      </w:r>
    </w:p>
    <w:p w14:paraId="31DD4BFB" w14:textId="77777777" w:rsidR="00C07DEA" w:rsidRDefault="00C07DEA" w:rsidP="00DC5282">
      <w:pPr>
        <w:overflowPunct/>
        <w:autoSpaceDE/>
        <w:autoSpaceDN/>
        <w:adjustRightInd/>
        <w:spacing w:line="293" w:lineRule="auto"/>
        <w:textAlignment w:val="auto"/>
        <w:rPr>
          <w:rFonts w:ascii="Calibri" w:eastAsia="Calibri" w:hAnsi="Calibri"/>
          <w:color w:val="000000"/>
          <w:szCs w:val="22"/>
          <w:lang w:eastAsia="en-US"/>
        </w:rPr>
      </w:pPr>
    </w:p>
    <w:p w14:paraId="11B8AD7C" w14:textId="77777777" w:rsidR="00C07DEA" w:rsidRDefault="00C07DEA" w:rsidP="00DC5282">
      <w:pPr>
        <w:overflowPunct/>
        <w:autoSpaceDE/>
        <w:autoSpaceDN/>
        <w:adjustRightInd/>
        <w:spacing w:line="293" w:lineRule="auto"/>
        <w:textAlignment w:val="auto"/>
        <w:rPr>
          <w:rFonts w:ascii="Calibri" w:eastAsia="Calibri" w:hAnsi="Calibri"/>
          <w:color w:val="000000"/>
          <w:szCs w:val="22"/>
          <w:lang w:eastAsia="en-US"/>
        </w:rPr>
      </w:pPr>
    </w:p>
    <w:p w14:paraId="2B9FCE15" w14:textId="746E3AC7" w:rsidR="00DC5282" w:rsidRPr="00DC5282" w:rsidRDefault="00EA3286" w:rsidP="00DC5282">
      <w:pPr>
        <w:overflowPunct/>
        <w:autoSpaceDE/>
        <w:autoSpaceDN/>
        <w:adjustRightInd/>
        <w:spacing w:line="293" w:lineRule="auto"/>
        <w:textAlignment w:val="auto"/>
        <w:rPr>
          <w:rFonts w:ascii="Calibri" w:eastAsia="Calibri" w:hAnsi="Calibri"/>
          <w:color w:val="000000"/>
          <w:szCs w:val="22"/>
          <w:lang w:eastAsia="en-US"/>
        </w:rPr>
      </w:pPr>
      <w:r>
        <w:rPr>
          <w:rFonts w:ascii="Calibri" w:eastAsia="Calibri" w:hAnsi="Calibri"/>
          <w:noProof/>
          <w:color w:val="000000"/>
          <w:szCs w:val="22"/>
        </w:rPr>
        <mc:AlternateContent>
          <mc:Choice Requires="wpg">
            <w:drawing>
              <wp:anchor distT="0" distB="0" distL="114300" distR="114300" simplePos="0" relativeHeight="251770880" behindDoc="0" locked="0" layoutInCell="1" allowOverlap="1" wp14:anchorId="43D1E446" wp14:editId="75DFE863">
                <wp:simplePos x="0" y="0"/>
                <wp:positionH relativeFrom="column">
                  <wp:posOffset>158605</wp:posOffset>
                </wp:positionH>
                <wp:positionV relativeFrom="paragraph">
                  <wp:posOffset>122910</wp:posOffset>
                </wp:positionV>
                <wp:extent cx="6021274" cy="7988300"/>
                <wp:effectExtent l="0" t="0" r="17780" b="12700"/>
                <wp:wrapNone/>
                <wp:docPr id="37" name="Skupina 37"/>
                <wp:cNvGraphicFramePr/>
                <a:graphic xmlns:a="http://schemas.openxmlformats.org/drawingml/2006/main">
                  <a:graphicData uri="http://schemas.microsoft.com/office/word/2010/wordprocessingGroup">
                    <wpg:wgp>
                      <wpg:cNvGrpSpPr/>
                      <wpg:grpSpPr>
                        <a:xfrm>
                          <a:off x="0" y="0"/>
                          <a:ext cx="6021274" cy="7988300"/>
                          <a:chOff x="0" y="0"/>
                          <a:chExt cx="6021274" cy="7988300"/>
                        </a:xfrm>
                      </wpg:grpSpPr>
                      <wps:wsp>
                        <wps:cNvPr id="159" name="Vývojový diagram: spojnice 159"/>
                        <wps:cNvSpPr/>
                        <wps:spPr>
                          <a:xfrm>
                            <a:off x="0" y="0"/>
                            <a:ext cx="2649600" cy="2700000"/>
                          </a:xfrm>
                          <a:prstGeom prst="flowChartConnector">
                            <a:avLst/>
                          </a:prstGeom>
                          <a:solidFill>
                            <a:srgbClr val="00B050"/>
                          </a:solidFill>
                          <a:ln w="12700" cap="flat" cmpd="sng" algn="ctr">
                            <a:solidFill>
                              <a:srgbClr val="E31B23">
                                <a:shade val="50000"/>
                              </a:srgbClr>
                            </a:solidFill>
                            <a:prstDash val="solid"/>
                            <a:miter lim="800000"/>
                          </a:ln>
                          <a:effectLst/>
                        </wps:spPr>
                        <wps:txbx>
                          <w:txbxContent>
                            <w:p w14:paraId="109E5BB9" w14:textId="77777777" w:rsidR="00034AD2" w:rsidRDefault="00034AD2" w:rsidP="00DC5282">
                              <w:pPr>
                                <w:jc w:val="center"/>
                              </w:pPr>
                            </w:p>
                            <w:p w14:paraId="263185CD" w14:textId="77777777" w:rsidR="00034AD2" w:rsidRDefault="00034AD2" w:rsidP="00DC5282">
                              <w:pPr>
                                <w:spacing w:after="120"/>
                                <w:jc w:val="center"/>
                              </w:pPr>
                              <w:r>
                                <w:t>Celkový počet zdrojů OZE čerpající podporu</w:t>
                              </w:r>
                            </w:p>
                            <w:p w14:paraId="54E6C8C9" w14:textId="77777777" w:rsidR="00034AD2" w:rsidRPr="003C248A" w:rsidRDefault="00034AD2" w:rsidP="00DC5282">
                              <w:pPr>
                                <w:spacing w:after="120"/>
                                <w:jc w:val="center"/>
                                <w:rPr>
                                  <w:b/>
                                </w:rPr>
                              </w:pPr>
                              <w:r w:rsidRPr="003C248A">
                                <w:rPr>
                                  <w:b/>
                                </w:rPr>
                                <w:t>31 025 ks</w:t>
                              </w:r>
                            </w:p>
                            <w:p w14:paraId="34B1B384" w14:textId="77777777" w:rsidR="00034AD2" w:rsidRDefault="00034AD2" w:rsidP="00DC5282">
                              <w:pPr>
                                <w:jc w:val="center"/>
                              </w:pPr>
                            </w:p>
                            <w:p w14:paraId="2040A965" w14:textId="77777777" w:rsidR="00034AD2" w:rsidRDefault="00034AD2" w:rsidP="00DC528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Vývojový diagram: spojnice 121"/>
                        <wps:cNvSpPr/>
                        <wps:spPr>
                          <a:xfrm>
                            <a:off x="3438144" y="0"/>
                            <a:ext cx="2541600" cy="2699385"/>
                          </a:xfrm>
                          <a:prstGeom prst="flowChartConnector">
                            <a:avLst/>
                          </a:prstGeom>
                          <a:solidFill>
                            <a:srgbClr val="E31B23"/>
                          </a:solidFill>
                          <a:ln w="12700" cap="flat" cmpd="sng" algn="ctr">
                            <a:solidFill>
                              <a:srgbClr val="E31B23">
                                <a:shade val="50000"/>
                              </a:srgbClr>
                            </a:solidFill>
                            <a:prstDash val="solid"/>
                            <a:miter lim="800000"/>
                          </a:ln>
                          <a:effectLst/>
                        </wps:spPr>
                        <wps:txbx>
                          <w:txbxContent>
                            <w:p w14:paraId="71EED3F7" w14:textId="77777777" w:rsidR="00034AD2" w:rsidRDefault="00034AD2" w:rsidP="00DC5282">
                              <w:pPr>
                                <w:jc w:val="center"/>
                              </w:pPr>
                            </w:p>
                            <w:p w14:paraId="724691E7" w14:textId="77777777" w:rsidR="00034AD2" w:rsidRDefault="00034AD2" w:rsidP="00DC5282">
                              <w:pPr>
                                <w:spacing w:after="120"/>
                                <w:jc w:val="center"/>
                              </w:pPr>
                              <w:r>
                                <w:t xml:space="preserve">Výše podpory čerpající celkovým počtem zdrojů OZE </w:t>
                              </w:r>
                            </w:p>
                            <w:p w14:paraId="18584FC5" w14:textId="77777777" w:rsidR="00034AD2" w:rsidRPr="003C248A" w:rsidRDefault="00034AD2" w:rsidP="00DC5282">
                              <w:pPr>
                                <w:spacing w:after="120"/>
                                <w:jc w:val="center"/>
                                <w:rPr>
                                  <w:b/>
                                </w:rPr>
                              </w:pPr>
                              <w:r w:rsidRPr="003C248A">
                                <w:rPr>
                                  <w:b/>
                                </w:rPr>
                                <w:t>41,09 mld. Kč</w:t>
                              </w:r>
                            </w:p>
                            <w:p w14:paraId="0EF8EDFE" w14:textId="77777777" w:rsidR="00034AD2" w:rsidRDefault="00034AD2" w:rsidP="00DC5282">
                              <w:pPr>
                                <w:jc w:val="center"/>
                              </w:pPr>
                            </w:p>
                            <w:p w14:paraId="7ECEF04D" w14:textId="77777777" w:rsidR="00034AD2" w:rsidRDefault="00034AD2" w:rsidP="00DC528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 name="Obousměrná vodorovná šipka 158"/>
                        <wps:cNvSpPr/>
                        <wps:spPr>
                          <a:xfrm>
                            <a:off x="2648102" y="1177748"/>
                            <a:ext cx="792000" cy="484505"/>
                          </a:xfrm>
                          <a:prstGeom prst="leftRightArrow">
                            <a:avLst/>
                          </a:prstGeom>
                          <a:solidFill>
                            <a:srgbClr val="0096D6"/>
                          </a:solidFill>
                          <a:ln w="12700" cap="flat" cmpd="sng" algn="ctr">
                            <a:solidFill>
                              <a:srgbClr val="0096D6">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Vývojový diagram: spojnice 120"/>
                        <wps:cNvSpPr/>
                        <wps:spPr>
                          <a:xfrm>
                            <a:off x="475136" y="4478512"/>
                            <a:ext cx="1177931" cy="1144688"/>
                          </a:xfrm>
                          <a:prstGeom prst="flowChartConnector">
                            <a:avLst/>
                          </a:prstGeom>
                          <a:solidFill>
                            <a:srgbClr val="00B050"/>
                          </a:solidFill>
                          <a:ln w="12700" cap="flat" cmpd="sng" algn="ctr">
                            <a:solidFill>
                              <a:srgbClr val="E31B23">
                                <a:shade val="50000"/>
                              </a:srgbClr>
                            </a:solidFill>
                            <a:prstDash val="solid"/>
                            <a:miter lim="800000"/>
                          </a:ln>
                          <a:effectLst/>
                        </wps:spPr>
                        <wps:txbx>
                          <w:txbxContent>
                            <w:p w14:paraId="185E529E" w14:textId="490B9583" w:rsidR="00034AD2" w:rsidRPr="00B93DC9" w:rsidRDefault="00034AD2" w:rsidP="00D22763">
                              <w:pPr>
                                <w:spacing w:after="0" w:line="240" w:lineRule="auto"/>
                                <w:jc w:val="center"/>
                                <w:rPr>
                                  <w:sz w:val="18"/>
                                  <w:szCs w:val="18"/>
                                </w:rPr>
                              </w:pPr>
                              <w:r w:rsidRPr="00B93DC9">
                                <w:rPr>
                                  <w:sz w:val="18"/>
                                  <w:szCs w:val="18"/>
                                </w:rPr>
                                <w:t xml:space="preserve">Počet zdrojů spadající </w:t>
                              </w:r>
                              <w:r>
                                <w:rPr>
                                  <w:sz w:val="18"/>
                                  <w:szCs w:val="18"/>
                                </w:rPr>
                                <w:t>do</w:t>
                              </w:r>
                              <w:r w:rsidRPr="00B93DC9">
                                <w:rPr>
                                  <w:sz w:val="18"/>
                                  <w:szCs w:val="18"/>
                                </w:rPr>
                                <w:t xml:space="preserve"> mechanismu</w:t>
                              </w:r>
                              <w:r>
                                <w:rPr>
                                  <w:sz w:val="18"/>
                                  <w:szCs w:val="18"/>
                                </w:rPr>
                                <w:t xml:space="preserve"> kontroly</w:t>
                              </w:r>
                            </w:p>
                            <w:p w14:paraId="75944938" w14:textId="77777777" w:rsidR="00034AD2" w:rsidRPr="00B93DC9" w:rsidRDefault="00034AD2" w:rsidP="004713EF">
                              <w:pPr>
                                <w:spacing w:after="0" w:line="240" w:lineRule="auto"/>
                                <w:jc w:val="center"/>
                                <w:rPr>
                                  <w:b/>
                                  <w:sz w:val="18"/>
                                  <w:szCs w:val="18"/>
                                </w:rPr>
                              </w:pPr>
                              <w:r w:rsidRPr="00B93DC9">
                                <w:rPr>
                                  <w:b/>
                                  <w:sz w:val="18"/>
                                  <w:szCs w:val="18"/>
                                </w:rPr>
                                <w:t>3 349 ks</w:t>
                              </w:r>
                            </w:p>
                            <w:p w14:paraId="54C9D0AB" w14:textId="77777777" w:rsidR="00034AD2" w:rsidRPr="00E47354" w:rsidRDefault="00034AD2" w:rsidP="00DC5282">
                              <w:pPr>
                                <w:jc w:val="center"/>
                                <w:rPr>
                                  <w:szCs w:val="22"/>
                                </w:rPr>
                              </w:pPr>
                            </w:p>
                            <w:p w14:paraId="5D571C8A" w14:textId="77777777" w:rsidR="00034AD2" w:rsidRDefault="00034AD2" w:rsidP="00DC528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Šipka dolů 6"/>
                        <wps:cNvSpPr/>
                        <wps:spPr>
                          <a:xfrm>
                            <a:off x="1003992" y="2699308"/>
                            <a:ext cx="294640" cy="1779207"/>
                          </a:xfrm>
                          <a:prstGeom prst="downArrow">
                            <a:avLst/>
                          </a:prstGeom>
                          <a:solidFill>
                            <a:srgbClr val="0096D6"/>
                          </a:solidFill>
                          <a:ln w="12700" cap="flat" cmpd="sng" algn="ctr">
                            <a:solidFill>
                              <a:srgbClr val="0096D6">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 name="Vývojový diagram: spojnice 160"/>
                        <wps:cNvSpPr/>
                        <wps:spPr>
                          <a:xfrm>
                            <a:off x="3789274" y="4272077"/>
                            <a:ext cx="2232000" cy="2246400"/>
                          </a:xfrm>
                          <a:prstGeom prst="flowChartConnector">
                            <a:avLst/>
                          </a:prstGeom>
                          <a:solidFill>
                            <a:srgbClr val="E31B23"/>
                          </a:solidFill>
                          <a:ln w="12700" cap="flat" cmpd="sng" algn="ctr">
                            <a:solidFill>
                              <a:srgbClr val="E31B23">
                                <a:shade val="50000"/>
                              </a:srgbClr>
                            </a:solidFill>
                            <a:prstDash val="solid"/>
                            <a:miter lim="800000"/>
                          </a:ln>
                          <a:effectLst/>
                        </wps:spPr>
                        <wps:txbx>
                          <w:txbxContent>
                            <w:p w14:paraId="6BAF4462" w14:textId="6A2F0AC8" w:rsidR="00034AD2" w:rsidRDefault="00034AD2" w:rsidP="00DC5282">
                              <w:pPr>
                                <w:spacing w:after="120"/>
                                <w:jc w:val="center"/>
                              </w:pPr>
                              <w:r>
                                <w:t>Celková vyplacená podpora pro zdroje spadající do mechanismu kontroly</w:t>
                              </w:r>
                            </w:p>
                            <w:p w14:paraId="3DDF4263" w14:textId="77777777" w:rsidR="00034AD2" w:rsidRPr="003C248A" w:rsidRDefault="00034AD2" w:rsidP="00DC5282">
                              <w:pPr>
                                <w:spacing w:after="120"/>
                                <w:jc w:val="center"/>
                                <w:rPr>
                                  <w:b/>
                                </w:rPr>
                              </w:pPr>
                              <w:r>
                                <w:rPr>
                                  <w:b/>
                                </w:rPr>
                                <w:t>36,64</w:t>
                              </w:r>
                              <w:r w:rsidRPr="003C248A">
                                <w:rPr>
                                  <w:b/>
                                </w:rPr>
                                <w:t xml:space="preserve"> </w:t>
                              </w:r>
                              <w:r>
                                <w:rPr>
                                  <w:b/>
                                </w:rPr>
                                <w:t>mld. Kč</w:t>
                              </w:r>
                            </w:p>
                            <w:p w14:paraId="3902A143" w14:textId="77777777" w:rsidR="00034AD2" w:rsidRDefault="00034AD2" w:rsidP="00DC5282">
                              <w:pPr>
                                <w:jc w:val="center"/>
                              </w:pPr>
                            </w:p>
                            <w:p w14:paraId="34F16440" w14:textId="77777777" w:rsidR="00034AD2" w:rsidRDefault="00034AD2" w:rsidP="00DC528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Obousměrná vodorovná šipka 118"/>
                        <wps:cNvSpPr/>
                        <wps:spPr>
                          <a:xfrm>
                            <a:off x="1653123" y="4764958"/>
                            <a:ext cx="2213277" cy="360000"/>
                          </a:xfrm>
                          <a:prstGeom prst="leftRightArrow">
                            <a:avLst/>
                          </a:prstGeom>
                          <a:solidFill>
                            <a:srgbClr val="0096D6"/>
                          </a:solidFill>
                          <a:ln w="12700" cap="flat" cmpd="sng" algn="ctr">
                            <a:solidFill>
                              <a:srgbClr val="0096D6">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Šipka dolů 9"/>
                        <wps:cNvSpPr/>
                        <wps:spPr>
                          <a:xfrm>
                            <a:off x="4593946" y="2699309"/>
                            <a:ext cx="294640" cy="1570170"/>
                          </a:xfrm>
                          <a:prstGeom prst="downArrow">
                            <a:avLst/>
                          </a:prstGeom>
                          <a:solidFill>
                            <a:srgbClr val="0096D6"/>
                          </a:solidFill>
                          <a:ln w="12700" cap="flat" cmpd="sng" algn="ctr">
                            <a:solidFill>
                              <a:srgbClr val="0096D6">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Vývojový diagram: spojnice 157"/>
                        <wps:cNvSpPr/>
                        <wps:spPr>
                          <a:xfrm>
                            <a:off x="746150" y="7227418"/>
                            <a:ext cx="619200" cy="540000"/>
                          </a:xfrm>
                          <a:prstGeom prst="flowChartConnector">
                            <a:avLst/>
                          </a:prstGeom>
                          <a:solidFill>
                            <a:srgbClr val="00B050"/>
                          </a:solidFill>
                          <a:ln w="12700" cap="flat" cmpd="sng" algn="ctr">
                            <a:solidFill>
                              <a:srgbClr val="E31B23">
                                <a:shade val="50000"/>
                              </a:srgbClr>
                            </a:solidFill>
                            <a:prstDash val="solid"/>
                            <a:miter lim="800000"/>
                          </a:ln>
                          <a:effectLst/>
                        </wps:spPr>
                        <wps:txbx>
                          <w:txbxContent>
                            <w:p w14:paraId="696EE806" w14:textId="77777777" w:rsidR="00034AD2" w:rsidRPr="00E47354" w:rsidRDefault="00034AD2" w:rsidP="00DC5282">
                              <w:pPr>
                                <w:spacing w:after="0"/>
                                <w:jc w:val="center"/>
                                <w:rPr>
                                  <w:b/>
                                  <w:sz w:val="14"/>
                                  <w:szCs w:val="14"/>
                                </w:rPr>
                              </w:pPr>
                              <w:r w:rsidRPr="00E47354">
                                <w:rPr>
                                  <w:b/>
                                  <w:sz w:val="14"/>
                                  <w:szCs w:val="14"/>
                                </w:rPr>
                                <w:t>726 ks</w:t>
                              </w:r>
                            </w:p>
                            <w:p w14:paraId="5EC82408" w14:textId="77777777" w:rsidR="00034AD2" w:rsidRDefault="00034AD2" w:rsidP="00DC5282">
                              <w:pPr>
                                <w:jc w:val="center"/>
                              </w:pPr>
                            </w:p>
                            <w:p w14:paraId="3F1B2D1C" w14:textId="77777777" w:rsidR="00034AD2" w:rsidRDefault="00034AD2" w:rsidP="00DC528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 name="Vývojový diagram: spojnice 124"/>
                        <wps:cNvSpPr/>
                        <wps:spPr>
                          <a:xfrm>
                            <a:off x="2757830" y="7176212"/>
                            <a:ext cx="834525" cy="698400"/>
                          </a:xfrm>
                          <a:prstGeom prst="flowChartConnector">
                            <a:avLst/>
                          </a:prstGeom>
                          <a:solidFill>
                            <a:srgbClr val="00B050"/>
                          </a:solidFill>
                          <a:ln w="12700" cap="flat" cmpd="sng" algn="ctr">
                            <a:solidFill>
                              <a:srgbClr val="E31B23">
                                <a:shade val="50000"/>
                              </a:srgbClr>
                            </a:solidFill>
                            <a:prstDash val="solid"/>
                            <a:miter lim="800000"/>
                          </a:ln>
                          <a:effectLst/>
                        </wps:spPr>
                        <wps:txbx>
                          <w:txbxContent>
                            <w:p w14:paraId="56133DD9" w14:textId="77777777" w:rsidR="00034AD2" w:rsidRPr="00E47354" w:rsidRDefault="00034AD2" w:rsidP="00DC5282">
                              <w:pPr>
                                <w:spacing w:after="0"/>
                                <w:jc w:val="center"/>
                                <w:rPr>
                                  <w:b/>
                                  <w:sz w:val="14"/>
                                  <w:szCs w:val="14"/>
                                </w:rPr>
                              </w:pPr>
                              <w:r w:rsidRPr="00E47354">
                                <w:rPr>
                                  <w:b/>
                                  <w:sz w:val="14"/>
                                  <w:szCs w:val="14"/>
                                </w:rPr>
                                <w:t>2 613 ks</w:t>
                              </w:r>
                            </w:p>
                            <w:p w14:paraId="3B388400" w14:textId="77777777" w:rsidR="00034AD2" w:rsidRDefault="00034AD2" w:rsidP="00DC5282">
                              <w:pPr>
                                <w:jc w:val="center"/>
                              </w:pPr>
                            </w:p>
                            <w:p w14:paraId="022CC97F" w14:textId="77777777" w:rsidR="00034AD2" w:rsidRDefault="00034AD2" w:rsidP="00DC528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Bublinový popisek se šipkou doleva 123"/>
                        <wps:cNvSpPr/>
                        <wps:spPr>
                          <a:xfrm>
                            <a:off x="1389604" y="7073571"/>
                            <a:ext cx="1259906" cy="856265"/>
                          </a:xfrm>
                          <a:prstGeom prst="leftArrowCallout">
                            <a:avLst/>
                          </a:prstGeom>
                          <a:solidFill>
                            <a:srgbClr val="B9E0F7"/>
                          </a:solidFill>
                          <a:ln w="12700" cap="flat" cmpd="sng" algn="ctr">
                            <a:solidFill>
                              <a:srgbClr val="E31B23">
                                <a:shade val="50000"/>
                              </a:srgbClr>
                            </a:solidFill>
                            <a:prstDash val="solid"/>
                            <a:miter lim="800000"/>
                          </a:ln>
                          <a:effectLst/>
                        </wps:spPr>
                        <wps:txbx>
                          <w:txbxContent>
                            <w:p w14:paraId="3BBE3025" w14:textId="2406A1E1" w:rsidR="00034AD2" w:rsidRPr="00C07DEA" w:rsidRDefault="00034AD2" w:rsidP="00DC5282">
                              <w:pPr>
                                <w:spacing w:after="0" w:line="240" w:lineRule="auto"/>
                                <w:jc w:val="center"/>
                                <w:rPr>
                                  <w:sz w:val="18"/>
                                  <w:szCs w:val="18"/>
                                </w:rPr>
                              </w:pPr>
                              <w:r w:rsidRPr="00C07DEA">
                                <w:rPr>
                                  <w:sz w:val="18"/>
                                  <w:szCs w:val="18"/>
                                </w:rPr>
                                <w:t>Počet zdrojů v individuální  kontrole</w:t>
                              </w:r>
                            </w:p>
                            <w:p w14:paraId="0A49C4A7" w14:textId="77777777" w:rsidR="00034AD2" w:rsidRDefault="00034AD2" w:rsidP="00DC52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Bublinový popisek se šipkou doleva 122"/>
                        <wps:cNvSpPr/>
                        <wps:spPr>
                          <a:xfrm>
                            <a:off x="3598225" y="7088300"/>
                            <a:ext cx="1729775" cy="900000"/>
                          </a:xfrm>
                          <a:prstGeom prst="leftArrowCallout">
                            <a:avLst/>
                          </a:prstGeom>
                          <a:solidFill>
                            <a:srgbClr val="B9E0F7"/>
                          </a:solidFill>
                          <a:ln w="12700" cap="flat" cmpd="sng" algn="ctr">
                            <a:solidFill>
                              <a:srgbClr val="E31B23">
                                <a:shade val="50000"/>
                              </a:srgbClr>
                            </a:solidFill>
                            <a:prstDash val="solid"/>
                            <a:miter lim="800000"/>
                          </a:ln>
                          <a:effectLst/>
                        </wps:spPr>
                        <wps:txbx>
                          <w:txbxContent>
                            <w:p w14:paraId="2D018713" w14:textId="77777777" w:rsidR="00034AD2" w:rsidRPr="00C07DEA" w:rsidRDefault="00034AD2" w:rsidP="00812818">
                              <w:pPr>
                                <w:spacing w:after="0" w:line="240" w:lineRule="auto"/>
                                <w:jc w:val="center"/>
                                <w:rPr>
                                  <w:sz w:val="18"/>
                                  <w:szCs w:val="18"/>
                                </w:rPr>
                              </w:pPr>
                              <w:r w:rsidRPr="00C07DEA">
                                <w:rPr>
                                  <w:sz w:val="18"/>
                                  <w:szCs w:val="18"/>
                                </w:rPr>
                                <w:t>Počet zdrojů v reprezentativním vzorku</w:t>
                              </w:r>
                            </w:p>
                            <w:p w14:paraId="0043952B" w14:textId="77777777" w:rsidR="00034AD2" w:rsidRDefault="00034AD2" w:rsidP="00DC52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Šipka dolů 119"/>
                        <wps:cNvSpPr/>
                        <wps:spPr>
                          <a:xfrm>
                            <a:off x="958259" y="5623200"/>
                            <a:ext cx="294640" cy="1609021"/>
                          </a:xfrm>
                          <a:prstGeom prst="downArrow">
                            <a:avLst/>
                          </a:prstGeom>
                          <a:solidFill>
                            <a:srgbClr val="0096D6"/>
                          </a:solidFill>
                          <a:ln w="12700" cap="flat" cmpd="sng" algn="ctr">
                            <a:solidFill>
                              <a:srgbClr val="0096D6">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Šipka dolů 116"/>
                        <wps:cNvSpPr/>
                        <wps:spPr>
                          <a:xfrm>
                            <a:off x="3028390" y="5313601"/>
                            <a:ext cx="294640" cy="1841824"/>
                          </a:xfrm>
                          <a:prstGeom prst="downArrow">
                            <a:avLst/>
                          </a:prstGeom>
                          <a:solidFill>
                            <a:srgbClr val="0096D6"/>
                          </a:solidFill>
                          <a:ln w="12700" cap="flat" cmpd="sng" algn="ctr">
                            <a:solidFill>
                              <a:srgbClr val="0096D6">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 name="Šipka doprava 117"/>
                        <wps:cNvSpPr/>
                        <wps:spPr>
                          <a:xfrm>
                            <a:off x="1583607" y="5147540"/>
                            <a:ext cx="1739524" cy="309600"/>
                          </a:xfrm>
                          <a:prstGeom prst="rightArrow">
                            <a:avLst/>
                          </a:prstGeom>
                          <a:solidFill>
                            <a:srgbClr val="0096D6"/>
                          </a:solidFill>
                          <a:ln w="12700" cap="flat" cmpd="sng" algn="ctr">
                            <a:solidFill>
                              <a:srgbClr val="0096D6">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Skupina 37" o:spid="_x0000_s1111" style="position:absolute;margin-left:12.5pt;margin-top:9.7pt;width:474.1pt;height:629pt;z-index:251770880" coordsize="60212,79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mlugQYAAEs6AAAOAAAAZHJzL2Uyb0RvYy54bWzsW8mS2zYQvacq/4DiPRYBLiBV1rhm8bhS&#10;5bJdGSc+YyhSok0SDAAtk1/JJf6CfIFPjv8rDYCkpLFjSeMlLppz0HDB2sDr1+hu3n+wLgu0TIXM&#10;eTVx8D3XQWmV8GlezSbOr88vf4ocJBWrpqzgVTpxblLpPDj58Yf7q3qcEj7nxTQVCBqp5HhVT5y5&#10;UvV4NJLJPC2ZvMfrtIKXGRclU3ArZqOpYCtovSxGxHXD0YqLaS14kkoJTy/sS+fEtJ9laaKeZplM&#10;FSomDoxNmV9hfq/17+jkPhvPBKvnedIMg91hFCXLK+i0a+qCKYYWIn+vqTJPBJc8U/cSXo54luVJ&#10;auYAs8Hurdk8EnxRm7nMxqtZ3YkJRHtLTnduNnmyfCZQPp04HnVQxUpYo6tXizqvGIInIJ5VPRtD&#10;qUeivqqfiebBzN7pGa8zUer/MBe0NoK96QSbrhVK4GHoEkyo76AE3tE4ijy3EX0yh/V5r14yf7in&#10;5qjteKTH1w1nVcM2khtJyU+T1NWc1alZAKll0EgKB3Erqt/evlnyl3z59g2a5gz2UTlGsuYvK1hW&#10;pMsZeZnKnfTkWIIgDxUdCf04BGkZ0RHq6j/daicANq6FVI9SXiJ9MXGygq/O50yoc15VAAAuzM5k&#10;y8dS2YptBT0GyYt8epkXhbkRs+vzQqAl03Bxz9yg7WunWFGhFYBdjwbGxQC2WcEUXJY1bCRZzRzE&#10;ihnog0TZvndqy+1OHnr4jHhmgHLOpqntOtiaZVPczHinHT2LCybntop5pQXDxmWuQKcUeTlxom15&#10;FZV+mxqt0MhC7xe7GvpKra/XBgu+1y7cNZ/ewLILbjWHrJPLHPp9zKR6xgSoCpAAqD/1FH604CcO&#10;b64cNOfijw891+VhX8JbB61A9YDIfl8wkTqo+LmCHRtj39e6ytz4ASVwI7bfXG+/qRblOYflwqBo&#10;68Rc6vKqaC8zwcsXoCVPda/wilUJ9G0Xp7k5V1Ylgp5N0tNTUwz0U83U4+qqTnTjWnRa4s/XL5io&#10;m62mAOBPeIsSNr61x2xZXbPipwvFs9xsQC1qK1dY1AaxWs98DegSEJPVch+HLpQ7Brqe70Wwag56&#10;X/eRwMcbAIdx7EXB1wFwgy2LeYOPFuf9B7DfLt8A4H4BOACD0gL46TVfyPKfP0X19jVa8ikXfKkv&#10;373O61cM2Ddq9wBQ9372BaKNsEsMhDGmlPqmPhBGY4rQGAxO0J/ahvEjP3D3wLhIM/VLPpurUyH4&#10;6q4cHIcXYaMuvhSEXdd0ovX0/8/BA177hVdtvBxEuMbS1EbAQWj1aYC90IDV92kUYKJBsgGrRnDs&#10;AdlrtGKg5jAycB7M5i9pNhuNuDHvBrO5J2YzAM1i+N1fhlunvHj3NzK8dDBiset6cWz5lWgz2L3F&#10;ryT2Q33uMYgF9BLX+B/+G7FTvqoGbt34A/aebwdu7Re3hgdyK5Q76jBLo9h467ShS8D9QA0QN+RK&#10;iLcxhQnRsG39RK03sHUxfWaf1Pd8pO3U7QDjfsEYH3ykhZLHABmHgYfBu6q9Uj4FR7I9Em8DGXsE&#10;0G041wMv1T4cD2fau/iVB8D2CrBd9GfHGj4u1uMHsQf2roGmtYZN/S1oblvDAXUx3UOxgzV8ZLRn&#10;QGWvUImDLoD98dAOlDuGRKkfYgiDag6lBMxiy8EboIZY+4UthQZgCO+j0CE8++nh2W4FBwz3C8ME&#10;QqgHeYu7+N5B3mJCAwo5JxbEmIaQjbLrLo48PyCBBXEYR1/tPPs951h0Z5kBxD0DMZw4LYjPFtdF&#10;Xpn0qJrXuUxfIZnaAC1fIPAip0sI1MIJ9RhCxl4EGVE214K61AuoydXYMDImQRy7YFtrT3IUhCQ8&#10;IFJrHMnnrCj4Qt0tVnsWP3QvW5f1l4rVfqP5Ut3hZ8Byz7AMAZujsGyI9eCgkBfEEdHEq61rdysv&#10;tE26wJTElDbMHGvres8xWHuoBix/Qu6jTfkcgrj9y33EH3ZcYXh+DP+CFxkI1kAWuFVHgnZt6Z04&#10;bujGkPutCwxxXJNVbQwDK7A75ykPJNsvksUfzq/A8PwYYHouibzYnnIh8APxnFuG8Q4yI/BkwXF7&#10;QObn/IJgQGbPkNn5lLtYTy2YPrTizgd5kAcKspEBj9AaGLoBhuxFyHQC6G0dWqkXB9r9pQ+tHmTk&#10;7jN0xZBaPAR8vtFvecxHefDForH6mq8r9SeR2/fm25/NN6An/wIAAP//AwBQSwMEFAAGAAgAAAAh&#10;ANXdYsrhAAAACgEAAA8AAABkcnMvZG93bnJldi54bWxMj8FOwzAQRO9I/IO1SNyok7QlNMSpqgo4&#10;VUi0SIjbNt4mUWM7it0k/XuWExx3ZjT7Jl9PphUD9b5xVkE8i0CQLZ1ubKXg8/D68ATCB7QaW2dJ&#10;wZU8rIvbmxwz7Ub7QcM+VIJLrM9QQR1Cl0npy5oM+pnryLJ3cr3BwGdfSd3jyOWmlUkUPUqDjeUP&#10;NXa0rak87y9GwduI42Yevwy782l7/T4s3792MSl1fzdtnkEEmsJfGH7xGR0KZjq6i9VetAqSJU8J&#10;rK8WINhfpfMExJGFJE0XIItc/p9Q/AAAAP//AwBQSwECLQAUAAYACAAAACEAtoM4kv4AAADhAQAA&#10;EwAAAAAAAAAAAAAAAAAAAAAAW0NvbnRlbnRfVHlwZXNdLnhtbFBLAQItABQABgAIAAAAIQA4/SH/&#10;1gAAAJQBAAALAAAAAAAAAAAAAAAAAC8BAABfcmVscy8ucmVsc1BLAQItABQABgAIAAAAIQCAFmlu&#10;gQYAAEs6AAAOAAAAAAAAAAAAAAAAAC4CAABkcnMvZTJvRG9jLnhtbFBLAQItABQABgAIAAAAIQDV&#10;3WLK4QAAAAoBAAAPAAAAAAAAAAAAAAAAANsIAABkcnMvZG93bnJldi54bWxQSwUGAAAAAAQABADz&#10;AAAA6QkAAAAA&#10;">
                <v:shapetype id="_x0000_t120" coordsize="21600,21600" o:spt="120" path="m10800,qx,10800,10800,21600,21600,10800,10800,xe">
                  <v:path gradientshapeok="t" o:connecttype="custom" o:connectlocs="10800,0;3163,3163;0,10800;3163,18437;10800,21600;18437,18437;21600,10800;18437,3163" textboxrect="3163,3163,18437,18437"/>
                </v:shapetype>
                <v:shape id="Vývojový diagram: spojnice 159" o:spid="_x0000_s1112" type="#_x0000_t120" style="position:absolute;width:26496;height:27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qWqsIA&#10;AADcAAAADwAAAGRycy9kb3ducmV2LnhtbERPTYvCMBC9L/gfwgje1lRF0WqUIhb24MF11fPYjG2x&#10;mZQmatdfb4SFvc3jfc5i1ZpK3KlxpWUFg34EgjizuuRcweEn/ZyCcB5ZY2WZFPySg9Wy87HAWNsH&#10;f9N973MRQtjFqKDwvo6ldFlBBl3f1sSBu9jGoA+wyaVu8BHCTSWHUTSRBksODQXWtC4ou+5vRsGE&#10;k+1GjtLrxY9P1fP8TGx63CnV67bJHISn1v+L/9xfOswfz+D9TLh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upaqwgAAANwAAAAPAAAAAAAAAAAAAAAAAJgCAABkcnMvZG93&#10;bnJldi54bWxQSwUGAAAAAAQABAD1AAAAhwMAAAAA&#10;" fillcolor="#00b050" strokecolor="#a71117" strokeweight="1pt">
                  <v:stroke joinstyle="miter"/>
                  <v:textbox>
                    <w:txbxContent>
                      <w:p w14:paraId="109E5BB9" w14:textId="77777777" w:rsidR="00034AD2" w:rsidRDefault="00034AD2" w:rsidP="00DC5282">
                        <w:pPr>
                          <w:jc w:val="center"/>
                        </w:pPr>
                      </w:p>
                      <w:p w14:paraId="263185CD" w14:textId="77777777" w:rsidR="00034AD2" w:rsidRDefault="00034AD2" w:rsidP="00DC5282">
                        <w:pPr>
                          <w:spacing w:after="120"/>
                          <w:jc w:val="center"/>
                        </w:pPr>
                        <w:r>
                          <w:t>Celkový počet zdrojů OZE čerpající podporu</w:t>
                        </w:r>
                      </w:p>
                      <w:p w14:paraId="54E6C8C9" w14:textId="77777777" w:rsidR="00034AD2" w:rsidRPr="003C248A" w:rsidRDefault="00034AD2" w:rsidP="00DC5282">
                        <w:pPr>
                          <w:spacing w:after="120"/>
                          <w:jc w:val="center"/>
                          <w:rPr>
                            <w:b/>
                          </w:rPr>
                        </w:pPr>
                        <w:r w:rsidRPr="003C248A">
                          <w:rPr>
                            <w:b/>
                          </w:rPr>
                          <w:t>31 025 ks</w:t>
                        </w:r>
                      </w:p>
                      <w:p w14:paraId="34B1B384" w14:textId="77777777" w:rsidR="00034AD2" w:rsidRDefault="00034AD2" w:rsidP="00DC5282">
                        <w:pPr>
                          <w:jc w:val="center"/>
                        </w:pPr>
                      </w:p>
                      <w:p w14:paraId="2040A965" w14:textId="77777777" w:rsidR="00034AD2" w:rsidRDefault="00034AD2" w:rsidP="00DC5282">
                        <w:pPr>
                          <w:jc w:val="center"/>
                        </w:pPr>
                        <w:r>
                          <w:t xml:space="preserve"> </w:t>
                        </w:r>
                      </w:p>
                    </w:txbxContent>
                  </v:textbox>
                </v:shape>
                <v:shape id="Vývojový diagram: spojnice 121" o:spid="_x0000_s1113" type="#_x0000_t120" style="position:absolute;left:34381;width:25416;height:269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bvZsIA&#10;AADcAAAADwAAAGRycy9kb3ducmV2LnhtbERP22rCQBB9L/Qflin4VjcGaSW6ShGEBqHS6AcM2TGJ&#10;3Z0N2W0ufn23UOjbHM51NrvRGtFT5xvHChbzBARx6XTDlYLL+fC8AuEDskbjmBRM5GG3fXzYYKbd&#10;wJ/UF6ESMYR9hgrqENpMSl/WZNHPXUscuavrLIYIu0rqDocYbo1Mk+RFWmw4NtTY0r6m8qv4tgoM&#10;npZ5e8/D5fZxMj55nQZ9LJSaPY1vaxCBxvAv/nO/6zg/XcDvM/EC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tu9mwgAAANwAAAAPAAAAAAAAAAAAAAAAAJgCAABkcnMvZG93&#10;bnJldi54bWxQSwUGAAAAAAQABAD1AAAAhwMAAAAA&#10;" fillcolor="#e31b23" strokecolor="#a71117" strokeweight="1pt">
                  <v:stroke joinstyle="miter"/>
                  <v:textbox>
                    <w:txbxContent>
                      <w:p w14:paraId="71EED3F7" w14:textId="77777777" w:rsidR="00034AD2" w:rsidRDefault="00034AD2" w:rsidP="00DC5282">
                        <w:pPr>
                          <w:jc w:val="center"/>
                        </w:pPr>
                      </w:p>
                      <w:p w14:paraId="724691E7" w14:textId="77777777" w:rsidR="00034AD2" w:rsidRDefault="00034AD2" w:rsidP="00DC5282">
                        <w:pPr>
                          <w:spacing w:after="120"/>
                          <w:jc w:val="center"/>
                        </w:pPr>
                        <w:r>
                          <w:t xml:space="preserve">Výše podpory čerpající celkovým počtem zdrojů OZE </w:t>
                        </w:r>
                      </w:p>
                      <w:p w14:paraId="18584FC5" w14:textId="77777777" w:rsidR="00034AD2" w:rsidRPr="003C248A" w:rsidRDefault="00034AD2" w:rsidP="00DC5282">
                        <w:pPr>
                          <w:spacing w:after="120"/>
                          <w:jc w:val="center"/>
                          <w:rPr>
                            <w:b/>
                          </w:rPr>
                        </w:pPr>
                        <w:r w:rsidRPr="003C248A">
                          <w:rPr>
                            <w:b/>
                          </w:rPr>
                          <w:t>41,09 mld. Kč</w:t>
                        </w:r>
                      </w:p>
                      <w:p w14:paraId="0EF8EDFE" w14:textId="77777777" w:rsidR="00034AD2" w:rsidRDefault="00034AD2" w:rsidP="00DC5282">
                        <w:pPr>
                          <w:jc w:val="center"/>
                        </w:pPr>
                      </w:p>
                      <w:p w14:paraId="7ECEF04D" w14:textId="77777777" w:rsidR="00034AD2" w:rsidRDefault="00034AD2" w:rsidP="00DC5282">
                        <w:pPr>
                          <w:jc w:val="center"/>
                        </w:pPr>
                        <w:r>
                          <w:t xml:space="preserve"> </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Obousměrná vodorovná šipka 158" o:spid="_x0000_s1114" type="#_x0000_t69" style="position:absolute;left:26481;top:11777;width:7920;height:48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caK8YA&#10;AADcAAAADwAAAGRycy9kb3ducmV2LnhtbESPzW7CQAyE75V4h5WRuCDYtGoRBBZUFSHaIz8HuFlZ&#10;kwSy3ii7kPTt60MlbrZmPPN5sepcpR7UhNKzgddxAoo487bk3MDxsBlNQYWIbLHyTAZ+KcBq2XtZ&#10;YGp9yzt67GOuJIRDigaKGOtU65AV5DCMfU0s2sU3DqOsTa5tg62Eu0q/JclEOyxZGgqs6aug7La/&#10;OwPZud1NhrP1+rjJ36+nLQ678HM3ZtDvPuegInXxaf6//raC/yG08oxMo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ocaK8YAAADcAAAADwAAAAAAAAAAAAAAAACYAgAAZHJz&#10;L2Rvd25yZXYueG1sUEsFBgAAAAAEAAQA9QAAAIsDAAAAAA==&#10;" adj="6607" fillcolor="#0096d6" strokecolor="#006d9d" strokeweight="1pt"/>
                <v:shape id="Vývojový diagram: spojnice 120" o:spid="_x0000_s1115" type="#_x0000_t120" style="position:absolute;left:4751;top:44785;width:11779;height:114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ZMSsUA&#10;AADcAAAADwAAAGRycy9kb3ducmV2LnhtbESPT2vCQBDF70K/wzKF3nSjpSLRVYIY8NBD65+ep9kx&#10;CWZnQ3bV1E/fOQjeZnhv3vvNYtW7Rl2pC7VnA+NRAoq48Lbm0sBhnw9noEJEtth4JgN/FGC1fBks&#10;MLX+xt903cVSSQiHFA1UMbap1qGoyGEY+ZZYtJPvHEZZu1LbDm8S7ho9SZKpdlizNFTY0rqi4ry7&#10;OANTzj43+j0/n+LHT3P/vWc+P34Z8/baZ3NQkfr4ND+ut1bwJ4Ivz8gEe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hkxKxQAAANwAAAAPAAAAAAAAAAAAAAAAAJgCAABkcnMv&#10;ZG93bnJldi54bWxQSwUGAAAAAAQABAD1AAAAigMAAAAA&#10;" fillcolor="#00b050" strokecolor="#a71117" strokeweight="1pt">
                  <v:stroke joinstyle="miter"/>
                  <v:textbox>
                    <w:txbxContent>
                      <w:p w14:paraId="185E529E" w14:textId="490B9583" w:rsidR="00034AD2" w:rsidRPr="00B93DC9" w:rsidRDefault="00034AD2" w:rsidP="00D22763">
                        <w:pPr>
                          <w:spacing w:after="0" w:line="240" w:lineRule="auto"/>
                          <w:jc w:val="center"/>
                          <w:rPr>
                            <w:sz w:val="18"/>
                            <w:szCs w:val="18"/>
                          </w:rPr>
                        </w:pPr>
                        <w:r w:rsidRPr="00B93DC9">
                          <w:rPr>
                            <w:sz w:val="18"/>
                            <w:szCs w:val="18"/>
                          </w:rPr>
                          <w:t xml:space="preserve">Počet zdrojů spadající </w:t>
                        </w:r>
                        <w:r>
                          <w:rPr>
                            <w:sz w:val="18"/>
                            <w:szCs w:val="18"/>
                          </w:rPr>
                          <w:t>do</w:t>
                        </w:r>
                        <w:r w:rsidRPr="00B93DC9">
                          <w:rPr>
                            <w:sz w:val="18"/>
                            <w:szCs w:val="18"/>
                          </w:rPr>
                          <w:t xml:space="preserve"> mechanismu</w:t>
                        </w:r>
                        <w:r>
                          <w:rPr>
                            <w:sz w:val="18"/>
                            <w:szCs w:val="18"/>
                          </w:rPr>
                          <w:t xml:space="preserve"> kontroly</w:t>
                        </w:r>
                      </w:p>
                      <w:p w14:paraId="75944938" w14:textId="77777777" w:rsidR="00034AD2" w:rsidRPr="00B93DC9" w:rsidRDefault="00034AD2" w:rsidP="004713EF">
                        <w:pPr>
                          <w:spacing w:after="0" w:line="240" w:lineRule="auto"/>
                          <w:jc w:val="center"/>
                          <w:rPr>
                            <w:b/>
                            <w:sz w:val="18"/>
                            <w:szCs w:val="18"/>
                          </w:rPr>
                        </w:pPr>
                        <w:r w:rsidRPr="00B93DC9">
                          <w:rPr>
                            <w:b/>
                            <w:sz w:val="18"/>
                            <w:szCs w:val="18"/>
                          </w:rPr>
                          <w:t>3 349 ks</w:t>
                        </w:r>
                      </w:p>
                      <w:p w14:paraId="54C9D0AB" w14:textId="77777777" w:rsidR="00034AD2" w:rsidRPr="00E47354" w:rsidRDefault="00034AD2" w:rsidP="00DC5282">
                        <w:pPr>
                          <w:jc w:val="center"/>
                          <w:rPr>
                            <w:szCs w:val="22"/>
                          </w:rPr>
                        </w:pPr>
                      </w:p>
                      <w:p w14:paraId="5D571C8A" w14:textId="77777777" w:rsidR="00034AD2" w:rsidRDefault="00034AD2" w:rsidP="00DC5282">
                        <w:pPr>
                          <w:jc w:val="center"/>
                        </w:pPr>
                        <w:r>
                          <w:t xml:space="preserve"> </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Šipka dolů 6" o:spid="_x0000_s1116" type="#_x0000_t67" style="position:absolute;left:10039;top:26993;width:2947;height:177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1ZvsIA&#10;AADaAAAADwAAAGRycy9kb3ducmV2LnhtbESPT4vCMBTE78J+h/AW9qbpelCppkV2EcTb+gfq7dk8&#10;27rNS2mird/eCILHYWZ+wyzS3tTiRq2rLCv4HkUgiHOrKy4U7Her4QyE88gaa8uk4E4O0uRjsMBY&#10;247/6Lb1hQgQdjEqKL1vYildXpJBN7INcfDOtjXog2wLqVvsAtzUchxFE2mw4rBQYkM/JeX/26tR&#10;gNnv6oD7fkkdberLcZqNi9Naqa/PfjkH4an37/CrvdYKJvC8Em6AT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nVm+wgAAANoAAAAPAAAAAAAAAAAAAAAAAJgCAABkcnMvZG93&#10;bnJldi54bWxQSwUGAAAAAAQABAD1AAAAhwMAAAAA&#10;" adj="19811" fillcolor="#0096d6" strokecolor="#006d9d" strokeweight="1pt"/>
                <v:shape id="Vývojový diagram: spojnice 160" o:spid="_x0000_s1117" type="#_x0000_t120" style="position:absolute;left:37892;top:42720;width:22320;height:224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DzPcUA&#10;AADcAAAADwAAAGRycy9kb3ducmV2LnhtbESP0WrCQBBF3wv9h2WEvjUbS7ESXUUKhUpBafQDhuyY&#10;RHdnQ3ZrYr/eeSj0bYZ7594zy/XonbpSH9vABqZZDoq4Crbl2sDx8PE8BxUTskUXmAzcKMJ69fiw&#10;xMKGgb/pWqZaSQjHAg00KXWF1rFqyGPMQkcs2in0HpOsfa1tj4OEe6df8nymPbYsDQ129N5QdSl/&#10;vAGH+9dt97tNx/Nu72L+dhvsV2nM02TcLEAlGtO/+e/60wr+TPDlGZlAr+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kPM9xQAAANwAAAAPAAAAAAAAAAAAAAAAAJgCAABkcnMv&#10;ZG93bnJldi54bWxQSwUGAAAAAAQABAD1AAAAigMAAAAA&#10;" fillcolor="#e31b23" strokecolor="#a71117" strokeweight="1pt">
                  <v:stroke joinstyle="miter"/>
                  <v:textbox>
                    <w:txbxContent>
                      <w:p w14:paraId="6BAF4462" w14:textId="6A2F0AC8" w:rsidR="00034AD2" w:rsidRDefault="00034AD2" w:rsidP="00DC5282">
                        <w:pPr>
                          <w:spacing w:after="120"/>
                          <w:jc w:val="center"/>
                        </w:pPr>
                        <w:r>
                          <w:t>Celková vyplacená podpora pro zdroje spadající do mechanismu kontroly</w:t>
                        </w:r>
                      </w:p>
                      <w:p w14:paraId="3DDF4263" w14:textId="77777777" w:rsidR="00034AD2" w:rsidRPr="003C248A" w:rsidRDefault="00034AD2" w:rsidP="00DC5282">
                        <w:pPr>
                          <w:spacing w:after="120"/>
                          <w:jc w:val="center"/>
                          <w:rPr>
                            <w:b/>
                          </w:rPr>
                        </w:pPr>
                        <w:r>
                          <w:rPr>
                            <w:b/>
                          </w:rPr>
                          <w:t>36,64</w:t>
                        </w:r>
                        <w:r w:rsidRPr="003C248A">
                          <w:rPr>
                            <w:b/>
                          </w:rPr>
                          <w:t xml:space="preserve"> </w:t>
                        </w:r>
                        <w:r>
                          <w:rPr>
                            <w:b/>
                          </w:rPr>
                          <w:t>mld. Kč</w:t>
                        </w:r>
                      </w:p>
                      <w:p w14:paraId="3902A143" w14:textId="77777777" w:rsidR="00034AD2" w:rsidRDefault="00034AD2" w:rsidP="00DC5282">
                        <w:pPr>
                          <w:jc w:val="center"/>
                        </w:pPr>
                      </w:p>
                      <w:p w14:paraId="34F16440" w14:textId="77777777" w:rsidR="00034AD2" w:rsidRDefault="00034AD2" w:rsidP="00DC5282">
                        <w:pPr>
                          <w:jc w:val="center"/>
                        </w:pPr>
                        <w:r>
                          <w:t xml:space="preserve"> </w:t>
                        </w:r>
                      </w:p>
                    </w:txbxContent>
                  </v:textbox>
                </v:shape>
                <v:shape id="Obousměrná vodorovná šipka 118" o:spid="_x0000_s1118" type="#_x0000_t69" style="position:absolute;left:16531;top:47649;width:22133;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DbTcYA&#10;AADcAAAADwAAAGRycy9kb3ducmV2LnhtbESP0WoCQQxF3wv+wxDBtzprC1JXR6ltBWkFrfUDwk7c&#10;XbqT2c6MuvXrzUOhbzfk5ubc2aJzjTpTiLVnA6NhBoq48Lbm0sDha3X/BComZIuNZzLwSxEW897d&#10;DHPrL/xJ530qlYRwzNFAlVKbax2LihzGoW+JZXf0wWGSMZTaBrxIuGv0Q5aNtcOa5UOFLb1UVHzv&#10;T87A9rGjzenj9fC+LN5+lkFwdteJMYN+9zwFlahL/+a/67UV/JHQShlRo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DbTcYAAADcAAAADwAAAAAAAAAAAAAAAACYAgAAZHJz&#10;L2Rvd25yZXYueG1sUEsFBgAAAAAEAAQA9QAAAIsDAAAAAA==&#10;" adj="1757" fillcolor="#0096d6" strokecolor="#006d9d" strokeweight="1pt"/>
                <v:shape id="Šipka dolů 9" o:spid="_x0000_s1119" type="#_x0000_t67" style="position:absolute;left:45939;top:26993;width:2946;height:157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fTg8MA&#10;AADaAAAADwAAAGRycy9kb3ducmV2LnhtbESPX2vCMBTF3wf7DuEOfBmaWrDTziiiDPRFWRV8vWvu&#10;mrLmpjaZdt9+EQZ7PJw/P8582dtGXKnztWMF41ECgrh0uuZKwen4NpyC8AFZY+OYFPyQh+Xi8WGO&#10;uXY3fqdrESoRR9jnqMCE0OZS+tKQRT9yLXH0Pl1nMUTZVVJ3eIvjtpFpkmTSYs2RYLCltaHyq/i2&#10;kXvRmw+T7fbP1lfpyznbpQc9UWrw1K9eQQTqw3/4r73VCmZwvxJv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fTg8MAAADaAAAADwAAAAAAAAAAAAAAAACYAgAAZHJzL2Rv&#10;d25yZXYueG1sUEsFBgAAAAAEAAQA9QAAAIgDAAAAAA==&#10;" adj="19573" fillcolor="#0096d6" strokecolor="#006d9d" strokeweight="1pt"/>
                <v:shape id="Vývojový diagram: spojnice 157" o:spid="_x0000_s1120" type="#_x0000_t120" style="position:absolute;left:7461;top:72274;width:6192;height:54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mnQ8IA&#10;AADcAAAADwAAAGRycy9kb3ducmV2LnhtbERPS4vCMBC+L/gfwgje1lTFB9UoRSzswYPrquexGdti&#10;MylN1K6/3ggLe5uP7zmLVWsqcafGlZYVDPoRCOLM6pJzBYef9HMGwnlkjZVlUvBLDlbLzscCY20f&#10;/E33vc9FCGEXo4LC+zqW0mUFGXR9WxMH7mIbgz7AJpe6wUcIN5UcRtFEGiw5NBRY07qg7Lq/GQUT&#10;TrYbOUqvFz8+Vc/zM7HpcadUr9smcxCeWv8v/nN/6TB/PIX3M+ECuX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aadDwgAAANwAAAAPAAAAAAAAAAAAAAAAAJgCAABkcnMvZG93&#10;bnJldi54bWxQSwUGAAAAAAQABAD1AAAAhwMAAAAA&#10;" fillcolor="#00b050" strokecolor="#a71117" strokeweight="1pt">
                  <v:stroke joinstyle="miter"/>
                  <v:textbox>
                    <w:txbxContent>
                      <w:p w14:paraId="696EE806" w14:textId="77777777" w:rsidR="00034AD2" w:rsidRPr="00E47354" w:rsidRDefault="00034AD2" w:rsidP="00DC5282">
                        <w:pPr>
                          <w:spacing w:after="0"/>
                          <w:jc w:val="center"/>
                          <w:rPr>
                            <w:b/>
                            <w:sz w:val="14"/>
                            <w:szCs w:val="14"/>
                          </w:rPr>
                        </w:pPr>
                        <w:r w:rsidRPr="00E47354">
                          <w:rPr>
                            <w:b/>
                            <w:sz w:val="14"/>
                            <w:szCs w:val="14"/>
                          </w:rPr>
                          <w:t>726 ks</w:t>
                        </w:r>
                      </w:p>
                      <w:p w14:paraId="5EC82408" w14:textId="77777777" w:rsidR="00034AD2" w:rsidRDefault="00034AD2" w:rsidP="00DC5282">
                        <w:pPr>
                          <w:jc w:val="center"/>
                        </w:pPr>
                      </w:p>
                      <w:p w14:paraId="3F1B2D1C" w14:textId="77777777" w:rsidR="00034AD2" w:rsidRDefault="00034AD2" w:rsidP="00DC5282">
                        <w:pPr>
                          <w:jc w:val="center"/>
                        </w:pPr>
                        <w:r>
                          <w:t xml:space="preserve"> </w:t>
                        </w:r>
                      </w:p>
                    </w:txbxContent>
                  </v:textbox>
                </v:shape>
                <v:shape id="Vývojový diagram: spojnice 124" o:spid="_x0000_s1121" type="#_x0000_t120" style="position:absolute;left:27578;top:71762;width:8345;height:69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1KScMA&#10;AADcAAAADwAAAGRycy9kb3ducmV2LnhtbERPS2vCQBC+C/6HZQRvZmNsQ4muIUgDPfRg7eM8Zsck&#10;mJ0N2a2m/nq3UOhtPr7nbPLRdOJCg2stK1hGMQjiyuqWawUf7+XiCYTzyBo7y6Tghxzk2+lkg5m2&#10;V36jy8HXIoSwy1BB432fSemqhgy6yPbEgTvZwaAPcKilHvAawk0nkzhOpcGWQ0ODPe0aqs6Hb6Mg&#10;5eL1Wa7K88k/fnW3462w5edeqflsLNYgPI3+X/znftFhfvIAv8+EC+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71KScMAAADcAAAADwAAAAAAAAAAAAAAAACYAgAAZHJzL2Rv&#10;d25yZXYueG1sUEsFBgAAAAAEAAQA9QAAAIgDAAAAAA==&#10;" fillcolor="#00b050" strokecolor="#a71117" strokeweight="1pt">
                  <v:stroke joinstyle="miter"/>
                  <v:textbox>
                    <w:txbxContent>
                      <w:p w14:paraId="56133DD9" w14:textId="77777777" w:rsidR="00034AD2" w:rsidRPr="00E47354" w:rsidRDefault="00034AD2" w:rsidP="00DC5282">
                        <w:pPr>
                          <w:spacing w:after="0"/>
                          <w:jc w:val="center"/>
                          <w:rPr>
                            <w:b/>
                            <w:sz w:val="14"/>
                            <w:szCs w:val="14"/>
                          </w:rPr>
                        </w:pPr>
                        <w:r w:rsidRPr="00E47354">
                          <w:rPr>
                            <w:b/>
                            <w:sz w:val="14"/>
                            <w:szCs w:val="14"/>
                          </w:rPr>
                          <w:t>2 613 ks</w:t>
                        </w:r>
                      </w:p>
                      <w:p w14:paraId="3B388400" w14:textId="77777777" w:rsidR="00034AD2" w:rsidRDefault="00034AD2" w:rsidP="00DC5282">
                        <w:pPr>
                          <w:jc w:val="center"/>
                        </w:pPr>
                      </w:p>
                      <w:p w14:paraId="022CC97F" w14:textId="77777777" w:rsidR="00034AD2" w:rsidRDefault="00034AD2" w:rsidP="00DC5282">
                        <w:pPr>
                          <w:jc w:val="center"/>
                        </w:pPr>
                        <w:r>
                          <w:t xml:space="preserve"> </w:t>
                        </w:r>
                      </w:p>
                    </w:txbxContent>
                  </v:textbox>
                </v:shape>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Bublinový popisek se šipkou doleva 123" o:spid="_x0000_s1122" type="#_x0000_t77" style="position:absolute;left:13896;top:70735;width:12599;height:85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EsK8QA&#10;AADcAAAADwAAAGRycy9kb3ducmV2LnhtbERPTWvCQBC9F/wPywi9FN2otNTUjQSLUPRk2ktuQ3aa&#10;hGRnY3Zj0n/vFgq9zeN9zm4/mVbcqHe1ZQWrZQSCuLC65lLB1+dx8QrCeWSNrWVS8EMO9snsYYex&#10;tiNf6Jb5UoQQdjEqqLzvYildUZFBt7QdceC+bW/QB9iXUvc4hnDTynUUvUiDNYeGCjs6VFQ02WAU&#10;DOaUPz9t8wbP+bh5P5zT4XhNlXqcT+kbCE+T/xf/uT90mL/ewO8z4QKZ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RLCvEAAAA3AAAAA8AAAAAAAAAAAAAAAAAmAIAAGRycy9k&#10;b3ducmV2LnhtbFBLBQYAAAAABAAEAPUAAACJAwAAAAA=&#10;" adj="7565,,3670" fillcolor="#b9e0f7" strokecolor="#a71117" strokeweight="1pt">
                  <v:textbox>
                    <w:txbxContent>
                      <w:p w14:paraId="3BBE3025" w14:textId="2406A1E1" w:rsidR="00034AD2" w:rsidRPr="00C07DEA" w:rsidRDefault="00034AD2" w:rsidP="00DC5282">
                        <w:pPr>
                          <w:spacing w:after="0" w:line="240" w:lineRule="auto"/>
                          <w:jc w:val="center"/>
                          <w:rPr>
                            <w:sz w:val="18"/>
                            <w:szCs w:val="18"/>
                          </w:rPr>
                        </w:pPr>
                        <w:r w:rsidRPr="00C07DEA">
                          <w:rPr>
                            <w:sz w:val="18"/>
                            <w:szCs w:val="18"/>
                          </w:rPr>
                          <w:t>Počet zdrojů v individuální  kontrole</w:t>
                        </w:r>
                      </w:p>
                      <w:p w14:paraId="0A49C4A7" w14:textId="77777777" w:rsidR="00034AD2" w:rsidRDefault="00034AD2" w:rsidP="00DC5282">
                        <w:pPr>
                          <w:jc w:val="center"/>
                        </w:pPr>
                      </w:p>
                    </w:txbxContent>
                  </v:textbox>
                </v:shape>
                <v:shape id="Bublinový popisek se šipkou doleva 122" o:spid="_x0000_s1123" type="#_x0000_t77" style="position:absolute;left:35982;top:70883;width:17298;height:9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4/cIA&#10;AADcAAAADwAAAGRycy9kb3ducmV2LnhtbERPTWuDQBC9B/Iflin0lqwKDcFmldJQ2kNBYtr71J2o&#10;1Z0VdxvNv+8GArnN433OLp9NL840utaygngdgSCurG65VvB1fFttQTiPrLG3TAou5CDPlosdptpO&#10;fKBz6WsRQtilqKDxfkildFVDBt3aDsSBO9nRoA9wrKUecQrhppdJFG2kwZZDQ4MDvTZUdeWfUYCf&#10;v/H++734OZZPlyI5dKfSbKRSjw/zyzMIT7O/i2/uDx3mJwlcnwkXy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Xj9wgAAANwAAAAPAAAAAAAAAAAAAAAAAJgCAABkcnMvZG93&#10;bnJldi54bWxQSwUGAAAAAAQABAD1AAAAhwMAAAAA&#10;" adj="7565,,2810" fillcolor="#b9e0f7" strokecolor="#a71117" strokeweight="1pt">
                  <v:textbox>
                    <w:txbxContent>
                      <w:p w14:paraId="2D018713" w14:textId="77777777" w:rsidR="00034AD2" w:rsidRPr="00C07DEA" w:rsidRDefault="00034AD2" w:rsidP="00812818">
                        <w:pPr>
                          <w:spacing w:after="0" w:line="240" w:lineRule="auto"/>
                          <w:jc w:val="center"/>
                          <w:rPr>
                            <w:sz w:val="18"/>
                            <w:szCs w:val="18"/>
                          </w:rPr>
                        </w:pPr>
                        <w:r w:rsidRPr="00C07DEA">
                          <w:rPr>
                            <w:sz w:val="18"/>
                            <w:szCs w:val="18"/>
                          </w:rPr>
                          <w:t>Počet zdrojů v reprezentativním vzorku</w:t>
                        </w:r>
                      </w:p>
                      <w:p w14:paraId="0043952B" w14:textId="77777777" w:rsidR="00034AD2" w:rsidRDefault="00034AD2" w:rsidP="00DC5282">
                        <w:pPr>
                          <w:jc w:val="center"/>
                        </w:pPr>
                      </w:p>
                    </w:txbxContent>
                  </v:textbox>
                </v:shape>
                <v:shape id="Šipka dolů 119" o:spid="_x0000_s1124" type="#_x0000_t67" style="position:absolute;left:9582;top:56232;width:2946;height:160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1ujMIA&#10;AADcAAAADwAAAGRycy9kb3ducmV2LnhtbERPTWvCQBC9F/wPywi91Y09tDVmFRGKXgo1EbwO2TEJ&#10;yc6E7Kppf31XEHqbx/ucbD26Tl1p8I2wgfksAUVcim24MnAsPl8+QPmAbLETJgM/5GG9mjxlmFq5&#10;8YGueahUDGGfooE6hD7V2pc1OfQz6Ykjd5bBYYhwqLQd8BbDXadfk+RNO2w4NtTY07amss0vzoC8&#10;Lw6n4vtLNr/FeVdUuSTY7o15no6bJahAY/gXP9x7G+fPF3B/Jl6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7W6MwgAAANwAAAAPAAAAAAAAAAAAAAAAAJgCAABkcnMvZG93&#10;bnJldi54bWxQSwUGAAAAAAQABAD1AAAAhwMAAAAA&#10;" adj="19622" fillcolor="#0096d6" strokecolor="#006d9d" strokeweight="1pt"/>
                <v:shape id="Šipka dolů 116" o:spid="_x0000_s1125" type="#_x0000_t67" style="position:absolute;left:30283;top:53136;width:2947;height:184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P2o8EA&#10;AADcAAAADwAAAGRycy9kb3ducmV2LnhtbERPS4vCMBC+L/gfwgheFk1VLG63UUQR9ugT9jg0s21t&#10;MylN1O6/N4LgbT6+56TLztTiRq0rLSsYjyIQxJnVJecKTsftcA7CeWSNtWVS8E8OloveR4qJtnfe&#10;0+3gcxFC2CWooPC+SaR0WUEG3cg2xIH7s61BH2CbS93iPYSbWk6iKJYGSw4NBTa0LiirDlejoNyd&#10;o82Z6Jemu2zjPi/mq5pNlBr0u9U3CE+df4tf7h8d5o9jeD4TLp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D9qPBAAAA3AAAAA8AAAAAAAAAAAAAAAAAmAIAAGRycy9kb3du&#10;cmV2LnhtbFBLBQYAAAAABAAEAPUAAACGAwAAAAA=&#10;" adj="19872" fillcolor="#0096d6" strokecolor="#006d9d" strokeweight="1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Šipka doprava 117" o:spid="_x0000_s1126" type="#_x0000_t13" style="position:absolute;left:15836;top:51475;width:17395;height:3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nAM8QA&#10;AADcAAAADwAAAGRycy9kb3ducmV2LnhtbERPTWsCMRC9F/ofwhS8dbOKqGyNIoriQQ/VUvQ2bKab&#10;bTeTZRN19dc3guBtHu9zxtPWVuJMjS8dK+gmKQji3OmSCwVf++X7CIQPyBorx6TgSh6mk9eXMWba&#10;XfiTzrtQiBjCPkMFJoQ6k9Lnhiz6xNXEkftxjcUQYVNI3eAlhttK9tJ0IC2WHBsM1jQ3lP/tTlaB&#10;Xfzuvw+3TXvsbU9954armdlapTpv7ewDRKA2PMUP91rH+d0h3J+JF8jJ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ZwDPEAAAA3AAAAA8AAAAAAAAAAAAAAAAAmAIAAGRycy9k&#10;b3ducmV2LnhtbFBLBQYAAAAABAAEAPUAAACJAwAAAAA=&#10;" adj="19678" fillcolor="#0096d6" strokecolor="#006d9d" strokeweight="1pt"/>
              </v:group>
            </w:pict>
          </mc:Fallback>
        </mc:AlternateContent>
      </w:r>
    </w:p>
    <w:p w14:paraId="65F8971F" w14:textId="77777777" w:rsidR="00DC5282" w:rsidRDefault="00DC5282" w:rsidP="00545084">
      <w:pPr>
        <w:pStyle w:val="Odstavecseseznamem"/>
        <w:tabs>
          <w:tab w:val="left" w:pos="426"/>
        </w:tabs>
        <w:overflowPunct/>
        <w:autoSpaceDE/>
        <w:autoSpaceDN/>
        <w:adjustRightInd/>
        <w:spacing w:after="0" w:line="240" w:lineRule="auto"/>
        <w:ind w:left="284" w:hanging="284"/>
        <w:jc w:val="both"/>
        <w:textAlignment w:val="auto"/>
        <w:rPr>
          <w:b/>
          <w:sz w:val="26"/>
          <w:szCs w:val="26"/>
          <w:u w:val="single"/>
        </w:rPr>
      </w:pPr>
    </w:p>
    <w:p w14:paraId="0CCA6B30" w14:textId="77777777" w:rsidR="00DC5282" w:rsidRDefault="00DC5282" w:rsidP="00545084">
      <w:pPr>
        <w:pStyle w:val="Odstavecseseznamem"/>
        <w:tabs>
          <w:tab w:val="left" w:pos="426"/>
        </w:tabs>
        <w:overflowPunct/>
        <w:autoSpaceDE/>
        <w:autoSpaceDN/>
        <w:adjustRightInd/>
        <w:spacing w:after="0" w:line="240" w:lineRule="auto"/>
        <w:ind w:left="284" w:hanging="284"/>
        <w:jc w:val="both"/>
        <w:textAlignment w:val="auto"/>
        <w:rPr>
          <w:b/>
          <w:sz w:val="26"/>
          <w:szCs w:val="26"/>
          <w:u w:val="single"/>
        </w:rPr>
      </w:pPr>
    </w:p>
    <w:p w14:paraId="4C7ECBA1" w14:textId="77777777" w:rsidR="00DC5282" w:rsidRDefault="00DC5282" w:rsidP="00545084">
      <w:pPr>
        <w:pStyle w:val="Odstavecseseznamem"/>
        <w:tabs>
          <w:tab w:val="left" w:pos="426"/>
        </w:tabs>
        <w:overflowPunct/>
        <w:autoSpaceDE/>
        <w:autoSpaceDN/>
        <w:adjustRightInd/>
        <w:spacing w:after="0" w:line="240" w:lineRule="auto"/>
        <w:ind w:left="284" w:hanging="284"/>
        <w:jc w:val="both"/>
        <w:textAlignment w:val="auto"/>
        <w:rPr>
          <w:b/>
          <w:sz w:val="26"/>
          <w:szCs w:val="26"/>
          <w:u w:val="single"/>
        </w:rPr>
      </w:pPr>
    </w:p>
    <w:p w14:paraId="3756CC5C" w14:textId="77777777" w:rsidR="00DC5282" w:rsidRDefault="00DC5282" w:rsidP="00545084">
      <w:pPr>
        <w:pStyle w:val="Odstavecseseznamem"/>
        <w:tabs>
          <w:tab w:val="left" w:pos="426"/>
        </w:tabs>
        <w:overflowPunct/>
        <w:autoSpaceDE/>
        <w:autoSpaceDN/>
        <w:adjustRightInd/>
        <w:spacing w:after="0" w:line="240" w:lineRule="auto"/>
        <w:ind w:left="284" w:hanging="284"/>
        <w:jc w:val="both"/>
        <w:textAlignment w:val="auto"/>
        <w:rPr>
          <w:b/>
          <w:sz w:val="26"/>
          <w:szCs w:val="26"/>
          <w:u w:val="single"/>
        </w:rPr>
      </w:pPr>
    </w:p>
    <w:p w14:paraId="17EABC57" w14:textId="77777777" w:rsidR="00DC5282" w:rsidRDefault="00DC5282" w:rsidP="00545084">
      <w:pPr>
        <w:pStyle w:val="Odstavecseseznamem"/>
        <w:tabs>
          <w:tab w:val="left" w:pos="426"/>
        </w:tabs>
        <w:overflowPunct/>
        <w:autoSpaceDE/>
        <w:autoSpaceDN/>
        <w:adjustRightInd/>
        <w:spacing w:after="0" w:line="240" w:lineRule="auto"/>
        <w:ind w:left="284" w:hanging="284"/>
        <w:jc w:val="both"/>
        <w:textAlignment w:val="auto"/>
        <w:rPr>
          <w:b/>
          <w:sz w:val="26"/>
          <w:szCs w:val="26"/>
          <w:u w:val="single"/>
        </w:rPr>
      </w:pPr>
    </w:p>
    <w:p w14:paraId="2348240F" w14:textId="77777777" w:rsidR="00DC5282" w:rsidRDefault="00DC5282" w:rsidP="00545084">
      <w:pPr>
        <w:pStyle w:val="Odstavecseseznamem"/>
        <w:tabs>
          <w:tab w:val="left" w:pos="426"/>
        </w:tabs>
        <w:overflowPunct/>
        <w:autoSpaceDE/>
        <w:autoSpaceDN/>
        <w:adjustRightInd/>
        <w:spacing w:after="0" w:line="240" w:lineRule="auto"/>
        <w:ind w:left="284" w:hanging="284"/>
        <w:jc w:val="both"/>
        <w:textAlignment w:val="auto"/>
        <w:rPr>
          <w:b/>
          <w:sz w:val="26"/>
          <w:szCs w:val="26"/>
          <w:u w:val="single"/>
        </w:rPr>
      </w:pPr>
    </w:p>
    <w:p w14:paraId="219C0DBF" w14:textId="77777777" w:rsidR="00DC5282" w:rsidRDefault="00DC5282" w:rsidP="00545084">
      <w:pPr>
        <w:pStyle w:val="Odstavecseseznamem"/>
        <w:tabs>
          <w:tab w:val="left" w:pos="426"/>
        </w:tabs>
        <w:overflowPunct/>
        <w:autoSpaceDE/>
        <w:autoSpaceDN/>
        <w:adjustRightInd/>
        <w:spacing w:after="0" w:line="240" w:lineRule="auto"/>
        <w:ind w:left="284" w:hanging="284"/>
        <w:jc w:val="both"/>
        <w:textAlignment w:val="auto"/>
        <w:rPr>
          <w:b/>
          <w:sz w:val="26"/>
          <w:szCs w:val="26"/>
          <w:u w:val="single"/>
        </w:rPr>
      </w:pPr>
    </w:p>
    <w:p w14:paraId="7AC817FF" w14:textId="77777777" w:rsidR="00DC5282" w:rsidRDefault="00DC5282" w:rsidP="00545084">
      <w:pPr>
        <w:pStyle w:val="Odstavecseseznamem"/>
        <w:tabs>
          <w:tab w:val="left" w:pos="426"/>
        </w:tabs>
        <w:overflowPunct/>
        <w:autoSpaceDE/>
        <w:autoSpaceDN/>
        <w:adjustRightInd/>
        <w:spacing w:after="0" w:line="240" w:lineRule="auto"/>
        <w:ind w:left="284" w:hanging="284"/>
        <w:jc w:val="both"/>
        <w:textAlignment w:val="auto"/>
        <w:rPr>
          <w:b/>
          <w:sz w:val="26"/>
          <w:szCs w:val="26"/>
          <w:u w:val="single"/>
        </w:rPr>
      </w:pPr>
    </w:p>
    <w:p w14:paraId="694D9A01" w14:textId="77777777" w:rsidR="00DC5282" w:rsidRDefault="00DC5282" w:rsidP="00545084">
      <w:pPr>
        <w:pStyle w:val="Odstavecseseznamem"/>
        <w:tabs>
          <w:tab w:val="left" w:pos="426"/>
        </w:tabs>
        <w:overflowPunct/>
        <w:autoSpaceDE/>
        <w:autoSpaceDN/>
        <w:adjustRightInd/>
        <w:spacing w:after="0" w:line="240" w:lineRule="auto"/>
        <w:ind w:left="284" w:hanging="284"/>
        <w:jc w:val="both"/>
        <w:textAlignment w:val="auto"/>
        <w:rPr>
          <w:b/>
          <w:sz w:val="26"/>
          <w:szCs w:val="26"/>
          <w:u w:val="single"/>
        </w:rPr>
      </w:pPr>
    </w:p>
    <w:p w14:paraId="611A08AE" w14:textId="77777777" w:rsidR="00DC5282" w:rsidRDefault="00DC5282" w:rsidP="00545084">
      <w:pPr>
        <w:pStyle w:val="Odstavecseseznamem"/>
        <w:tabs>
          <w:tab w:val="left" w:pos="426"/>
        </w:tabs>
        <w:overflowPunct/>
        <w:autoSpaceDE/>
        <w:autoSpaceDN/>
        <w:adjustRightInd/>
        <w:spacing w:after="0" w:line="240" w:lineRule="auto"/>
        <w:ind w:left="284" w:hanging="284"/>
        <w:jc w:val="both"/>
        <w:textAlignment w:val="auto"/>
        <w:rPr>
          <w:b/>
          <w:sz w:val="26"/>
          <w:szCs w:val="26"/>
          <w:u w:val="single"/>
        </w:rPr>
      </w:pPr>
    </w:p>
    <w:p w14:paraId="3ECBDFC4" w14:textId="77777777" w:rsidR="00DC5282" w:rsidRDefault="00DC5282" w:rsidP="00545084">
      <w:pPr>
        <w:pStyle w:val="Odstavecseseznamem"/>
        <w:tabs>
          <w:tab w:val="left" w:pos="426"/>
        </w:tabs>
        <w:overflowPunct/>
        <w:autoSpaceDE/>
        <w:autoSpaceDN/>
        <w:adjustRightInd/>
        <w:spacing w:after="0" w:line="240" w:lineRule="auto"/>
        <w:ind w:left="284" w:hanging="284"/>
        <w:jc w:val="both"/>
        <w:textAlignment w:val="auto"/>
        <w:rPr>
          <w:b/>
          <w:sz w:val="26"/>
          <w:szCs w:val="26"/>
          <w:u w:val="single"/>
        </w:rPr>
      </w:pPr>
    </w:p>
    <w:p w14:paraId="2E5432E7" w14:textId="77777777" w:rsidR="00DC5282" w:rsidRDefault="00DC5282" w:rsidP="00545084">
      <w:pPr>
        <w:pStyle w:val="Odstavecseseznamem"/>
        <w:tabs>
          <w:tab w:val="left" w:pos="426"/>
        </w:tabs>
        <w:overflowPunct/>
        <w:autoSpaceDE/>
        <w:autoSpaceDN/>
        <w:adjustRightInd/>
        <w:spacing w:after="0" w:line="240" w:lineRule="auto"/>
        <w:ind w:left="284" w:hanging="284"/>
        <w:jc w:val="both"/>
        <w:textAlignment w:val="auto"/>
        <w:rPr>
          <w:b/>
          <w:sz w:val="26"/>
          <w:szCs w:val="26"/>
          <w:u w:val="single"/>
        </w:rPr>
      </w:pPr>
    </w:p>
    <w:p w14:paraId="6F319371" w14:textId="77777777" w:rsidR="00DC5282" w:rsidRDefault="00DC5282" w:rsidP="00545084">
      <w:pPr>
        <w:pStyle w:val="Odstavecseseznamem"/>
        <w:tabs>
          <w:tab w:val="left" w:pos="426"/>
        </w:tabs>
        <w:overflowPunct/>
        <w:autoSpaceDE/>
        <w:autoSpaceDN/>
        <w:adjustRightInd/>
        <w:spacing w:after="0" w:line="240" w:lineRule="auto"/>
        <w:ind w:left="284" w:hanging="284"/>
        <w:jc w:val="both"/>
        <w:textAlignment w:val="auto"/>
        <w:rPr>
          <w:b/>
          <w:sz w:val="26"/>
          <w:szCs w:val="26"/>
          <w:u w:val="single"/>
        </w:rPr>
      </w:pPr>
    </w:p>
    <w:p w14:paraId="5BF259D9" w14:textId="77777777" w:rsidR="00DC5282" w:rsidRDefault="00DC5282" w:rsidP="00545084">
      <w:pPr>
        <w:pStyle w:val="Odstavecseseznamem"/>
        <w:tabs>
          <w:tab w:val="left" w:pos="426"/>
        </w:tabs>
        <w:overflowPunct/>
        <w:autoSpaceDE/>
        <w:autoSpaceDN/>
        <w:adjustRightInd/>
        <w:spacing w:after="0" w:line="240" w:lineRule="auto"/>
        <w:ind w:left="284" w:hanging="284"/>
        <w:jc w:val="both"/>
        <w:textAlignment w:val="auto"/>
        <w:rPr>
          <w:b/>
          <w:sz w:val="26"/>
          <w:szCs w:val="26"/>
          <w:u w:val="single"/>
        </w:rPr>
      </w:pPr>
    </w:p>
    <w:p w14:paraId="7B6DC726" w14:textId="77777777" w:rsidR="00DC5282" w:rsidRDefault="00DC5282" w:rsidP="00545084">
      <w:pPr>
        <w:pStyle w:val="Odstavecseseznamem"/>
        <w:tabs>
          <w:tab w:val="left" w:pos="426"/>
        </w:tabs>
        <w:overflowPunct/>
        <w:autoSpaceDE/>
        <w:autoSpaceDN/>
        <w:adjustRightInd/>
        <w:spacing w:after="0" w:line="240" w:lineRule="auto"/>
        <w:ind w:left="284" w:hanging="284"/>
        <w:jc w:val="both"/>
        <w:textAlignment w:val="auto"/>
        <w:rPr>
          <w:b/>
          <w:sz w:val="26"/>
          <w:szCs w:val="26"/>
          <w:u w:val="single"/>
        </w:rPr>
      </w:pPr>
    </w:p>
    <w:p w14:paraId="3D7DFD88" w14:textId="77777777" w:rsidR="00DC5282" w:rsidRDefault="00DC5282" w:rsidP="00545084">
      <w:pPr>
        <w:pStyle w:val="Odstavecseseznamem"/>
        <w:tabs>
          <w:tab w:val="left" w:pos="426"/>
        </w:tabs>
        <w:overflowPunct/>
        <w:autoSpaceDE/>
        <w:autoSpaceDN/>
        <w:adjustRightInd/>
        <w:spacing w:after="0" w:line="240" w:lineRule="auto"/>
        <w:ind w:left="284" w:hanging="284"/>
        <w:jc w:val="both"/>
        <w:textAlignment w:val="auto"/>
        <w:rPr>
          <w:b/>
          <w:sz w:val="26"/>
          <w:szCs w:val="26"/>
          <w:u w:val="single"/>
        </w:rPr>
      </w:pPr>
    </w:p>
    <w:p w14:paraId="257426A5" w14:textId="77777777" w:rsidR="00DC5282" w:rsidRDefault="00DC5282" w:rsidP="00545084">
      <w:pPr>
        <w:pStyle w:val="Odstavecseseznamem"/>
        <w:tabs>
          <w:tab w:val="left" w:pos="426"/>
        </w:tabs>
        <w:overflowPunct/>
        <w:autoSpaceDE/>
        <w:autoSpaceDN/>
        <w:adjustRightInd/>
        <w:spacing w:after="0" w:line="240" w:lineRule="auto"/>
        <w:ind w:left="284" w:hanging="284"/>
        <w:jc w:val="both"/>
        <w:textAlignment w:val="auto"/>
        <w:rPr>
          <w:b/>
          <w:sz w:val="26"/>
          <w:szCs w:val="26"/>
          <w:u w:val="single"/>
        </w:rPr>
      </w:pPr>
    </w:p>
    <w:p w14:paraId="73FB526B" w14:textId="77777777" w:rsidR="00DC5282" w:rsidRDefault="00DC5282" w:rsidP="00545084">
      <w:pPr>
        <w:pStyle w:val="Odstavecseseznamem"/>
        <w:tabs>
          <w:tab w:val="left" w:pos="426"/>
        </w:tabs>
        <w:overflowPunct/>
        <w:autoSpaceDE/>
        <w:autoSpaceDN/>
        <w:adjustRightInd/>
        <w:spacing w:after="0" w:line="240" w:lineRule="auto"/>
        <w:ind w:left="284" w:hanging="284"/>
        <w:jc w:val="both"/>
        <w:textAlignment w:val="auto"/>
        <w:rPr>
          <w:b/>
          <w:sz w:val="26"/>
          <w:szCs w:val="26"/>
          <w:u w:val="single"/>
        </w:rPr>
      </w:pPr>
    </w:p>
    <w:p w14:paraId="0B95C1D8" w14:textId="77777777" w:rsidR="00DC5282" w:rsidRDefault="00DC5282" w:rsidP="00545084">
      <w:pPr>
        <w:pStyle w:val="Odstavecseseznamem"/>
        <w:tabs>
          <w:tab w:val="left" w:pos="426"/>
        </w:tabs>
        <w:overflowPunct/>
        <w:autoSpaceDE/>
        <w:autoSpaceDN/>
        <w:adjustRightInd/>
        <w:spacing w:after="0" w:line="240" w:lineRule="auto"/>
        <w:ind w:left="284" w:hanging="284"/>
        <w:jc w:val="both"/>
        <w:textAlignment w:val="auto"/>
        <w:rPr>
          <w:b/>
          <w:sz w:val="26"/>
          <w:szCs w:val="26"/>
          <w:u w:val="single"/>
        </w:rPr>
      </w:pPr>
    </w:p>
    <w:p w14:paraId="0B3A2F66" w14:textId="77777777" w:rsidR="00DC5282" w:rsidRDefault="00DC5282" w:rsidP="00545084">
      <w:pPr>
        <w:pStyle w:val="Odstavecseseznamem"/>
        <w:tabs>
          <w:tab w:val="left" w:pos="426"/>
        </w:tabs>
        <w:overflowPunct/>
        <w:autoSpaceDE/>
        <w:autoSpaceDN/>
        <w:adjustRightInd/>
        <w:spacing w:after="0" w:line="240" w:lineRule="auto"/>
        <w:ind w:left="284" w:hanging="284"/>
        <w:jc w:val="both"/>
        <w:textAlignment w:val="auto"/>
        <w:rPr>
          <w:b/>
          <w:sz w:val="26"/>
          <w:szCs w:val="26"/>
          <w:u w:val="single"/>
        </w:rPr>
      </w:pPr>
    </w:p>
    <w:p w14:paraId="52390ACF" w14:textId="77777777" w:rsidR="00DC5282" w:rsidRDefault="00DC5282" w:rsidP="00545084">
      <w:pPr>
        <w:pStyle w:val="Odstavecseseznamem"/>
        <w:tabs>
          <w:tab w:val="left" w:pos="426"/>
        </w:tabs>
        <w:overflowPunct/>
        <w:autoSpaceDE/>
        <w:autoSpaceDN/>
        <w:adjustRightInd/>
        <w:spacing w:after="0" w:line="240" w:lineRule="auto"/>
        <w:ind w:left="284" w:hanging="284"/>
        <w:jc w:val="both"/>
        <w:textAlignment w:val="auto"/>
        <w:rPr>
          <w:b/>
          <w:sz w:val="26"/>
          <w:szCs w:val="26"/>
          <w:u w:val="single"/>
        </w:rPr>
      </w:pPr>
    </w:p>
    <w:p w14:paraId="71608E39" w14:textId="77777777" w:rsidR="00DC5282" w:rsidRDefault="00DC5282" w:rsidP="00545084">
      <w:pPr>
        <w:pStyle w:val="Odstavecseseznamem"/>
        <w:tabs>
          <w:tab w:val="left" w:pos="426"/>
        </w:tabs>
        <w:overflowPunct/>
        <w:autoSpaceDE/>
        <w:autoSpaceDN/>
        <w:adjustRightInd/>
        <w:spacing w:after="0" w:line="240" w:lineRule="auto"/>
        <w:ind w:left="284" w:hanging="284"/>
        <w:jc w:val="both"/>
        <w:textAlignment w:val="auto"/>
        <w:rPr>
          <w:b/>
          <w:sz w:val="26"/>
          <w:szCs w:val="26"/>
          <w:u w:val="single"/>
        </w:rPr>
      </w:pPr>
    </w:p>
    <w:p w14:paraId="203D178C" w14:textId="77777777" w:rsidR="00DC5282" w:rsidRDefault="00DC5282" w:rsidP="00545084">
      <w:pPr>
        <w:pStyle w:val="Odstavecseseznamem"/>
        <w:tabs>
          <w:tab w:val="left" w:pos="426"/>
        </w:tabs>
        <w:overflowPunct/>
        <w:autoSpaceDE/>
        <w:autoSpaceDN/>
        <w:adjustRightInd/>
        <w:spacing w:after="0" w:line="240" w:lineRule="auto"/>
        <w:ind w:left="284" w:hanging="284"/>
        <w:jc w:val="both"/>
        <w:textAlignment w:val="auto"/>
        <w:rPr>
          <w:b/>
          <w:sz w:val="26"/>
          <w:szCs w:val="26"/>
          <w:u w:val="single"/>
        </w:rPr>
      </w:pPr>
    </w:p>
    <w:p w14:paraId="62BD0CA1" w14:textId="77777777" w:rsidR="00DC5282" w:rsidRDefault="00DC5282" w:rsidP="00545084">
      <w:pPr>
        <w:pStyle w:val="Odstavecseseznamem"/>
        <w:tabs>
          <w:tab w:val="left" w:pos="426"/>
        </w:tabs>
        <w:overflowPunct/>
        <w:autoSpaceDE/>
        <w:autoSpaceDN/>
        <w:adjustRightInd/>
        <w:spacing w:after="0" w:line="240" w:lineRule="auto"/>
        <w:ind w:left="284" w:hanging="284"/>
        <w:jc w:val="both"/>
        <w:textAlignment w:val="auto"/>
        <w:rPr>
          <w:b/>
          <w:sz w:val="26"/>
          <w:szCs w:val="26"/>
          <w:u w:val="single"/>
        </w:rPr>
      </w:pPr>
    </w:p>
    <w:p w14:paraId="099A743A" w14:textId="77777777" w:rsidR="00DC5282" w:rsidRDefault="00DC5282" w:rsidP="00545084">
      <w:pPr>
        <w:pStyle w:val="Odstavecseseznamem"/>
        <w:tabs>
          <w:tab w:val="left" w:pos="426"/>
        </w:tabs>
        <w:overflowPunct/>
        <w:autoSpaceDE/>
        <w:autoSpaceDN/>
        <w:adjustRightInd/>
        <w:spacing w:after="0" w:line="240" w:lineRule="auto"/>
        <w:ind w:left="284" w:hanging="284"/>
        <w:jc w:val="both"/>
        <w:textAlignment w:val="auto"/>
        <w:rPr>
          <w:b/>
          <w:sz w:val="26"/>
          <w:szCs w:val="26"/>
          <w:u w:val="single"/>
        </w:rPr>
      </w:pPr>
    </w:p>
    <w:p w14:paraId="05699297" w14:textId="77777777" w:rsidR="00DC5282" w:rsidRDefault="00DC5282" w:rsidP="00545084">
      <w:pPr>
        <w:pStyle w:val="Odstavecseseznamem"/>
        <w:tabs>
          <w:tab w:val="left" w:pos="426"/>
        </w:tabs>
        <w:overflowPunct/>
        <w:autoSpaceDE/>
        <w:autoSpaceDN/>
        <w:adjustRightInd/>
        <w:spacing w:after="0" w:line="240" w:lineRule="auto"/>
        <w:ind w:left="284" w:hanging="284"/>
        <w:jc w:val="both"/>
        <w:textAlignment w:val="auto"/>
        <w:rPr>
          <w:b/>
          <w:sz w:val="26"/>
          <w:szCs w:val="26"/>
          <w:u w:val="single"/>
        </w:rPr>
      </w:pPr>
    </w:p>
    <w:p w14:paraId="3E296334" w14:textId="77777777" w:rsidR="00DC5282" w:rsidRDefault="00DC5282" w:rsidP="00545084">
      <w:pPr>
        <w:pStyle w:val="Odstavecseseznamem"/>
        <w:tabs>
          <w:tab w:val="left" w:pos="426"/>
        </w:tabs>
        <w:overflowPunct/>
        <w:autoSpaceDE/>
        <w:autoSpaceDN/>
        <w:adjustRightInd/>
        <w:spacing w:after="0" w:line="240" w:lineRule="auto"/>
        <w:ind w:left="284" w:hanging="284"/>
        <w:jc w:val="both"/>
        <w:textAlignment w:val="auto"/>
        <w:rPr>
          <w:b/>
          <w:sz w:val="26"/>
          <w:szCs w:val="26"/>
          <w:u w:val="single"/>
        </w:rPr>
      </w:pPr>
    </w:p>
    <w:p w14:paraId="54CF8C25" w14:textId="77777777" w:rsidR="00DC5282" w:rsidRDefault="00DC5282" w:rsidP="00545084">
      <w:pPr>
        <w:pStyle w:val="Odstavecseseznamem"/>
        <w:tabs>
          <w:tab w:val="left" w:pos="426"/>
        </w:tabs>
        <w:overflowPunct/>
        <w:autoSpaceDE/>
        <w:autoSpaceDN/>
        <w:adjustRightInd/>
        <w:spacing w:after="0" w:line="240" w:lineRule="auto"/>
        <w:ind w:left="284" w:hanging="284"/>
        <w:jc w:val="both"/>
        <w:textAlignment w:val="auto"/>
        <w:rPr>
          <w:b/>
          <w:sz w:val="26"/>
          <w:szCs w:val="26"/>
          <w:u w:val="single"/>
        </w:rPr>
      </w:pPr>
    </w:p>
    <w:p w14:paraId="22F61519" w14:textId="77777777" w:rsidR="00DC5282" w:rsidRDefault="00DC5282" w:rsidP="00545084">
      <w:pPr>
        <w:pStyle w:val="Odstavecseseznamem"/>
        <w:tabs>
          <w:tab w:val="left" w:pos="426"/>
        </w:tabs>
        <w:overflowPunct/>
        <w:autoSpaceDE/>
        <w:autoSpaceDN/>
        <w:adjustRightInd/>
        <w:spacing w:after="0" w:line="240" w:lineRule="auto"/>
        <w:ind w:left="284" w:hanging="284"/>
        <w:jc w:val="both"/>
        <w:textAlignment w:val="auto"/>
        <w:rPr>
          <w:b/>
          <w:sz w:val="26"/>
          <w:szCs w:val="26"/>
          <w:u w:val="single"/>
        </w:rPr>
      </w:pPr>
    </w:p>
    <w:p w14:paraId="5594277D" w14:textId="77777777" w:rsidR="00DC5282" w:rsidRDefault="00DC5282" w:rsidP="00545084">
      <w:pPr>
        <w:pStyle w:val="Odstavecseseznamem"/>
        <w:tabs>
          <w:tab w:val="left" w:pos="426"/>
        </w:tabs>
        <w:overflowPunct/>
        <w:autoSpaceDE/>
        <w:autoSpaceDN/>
        <w:adjustRightInd/>
        <w:spacing w:after="0" w:line="240" w:lineRule="auto"/>
        <w:ind w:left="284" w:hanging="284"/>
        <w:jc w:val="both"/>
        <w:textAlignment w:val="auto"/>
        <w:rPr>
          <w:b/>
          <w:sz w:val="26"/>
          <w:szCs w:val="26"/>
          <w:u w:val="single"/>
        </w:rPr>
      </w:pPr>
    </w:p>
    <w:p w14:paraId="2FBBC439" w14:textId="77777777" w:rsidR="00DC5282" w:rsidRDefault="00DC5282" w:rsidP="00545084">
      <w:pPr>
        <w:pStyle w:val="Odstavecseseznamem"/>
        <w:tabs>
          <w:tab w:val="left" w:pos="426"/>
        </w:tabs>
        <w:overflowPunct/>
        <w:autoSpaceDE/>
        <w:autoSpaceDN/>
        <w:adjustRightInd/>
        <w:spacing w:after="0" w:line="240" w:lineRule="auto"/>
        <w:ind w:left="284" w:hanging="284"/>
        <w:jc w:val="both"/>
        <w:textAlignment w:val="auto"/>
        <w:rPr>
          <w:b/>
          <w:sz w:val="26"/>
          <w:szCs w:val="26"/>
          <w:u w:val="single"/>
        </w:rPr>
      </w:pPr>
    </w:p>
    <w:p w14:paraId="2A429995" w14:textId="77777777" w:rsidR="00DC5282" w:rsidRDefault="00DC5282" w:rsidP="00545084">
      <w:pPr>
        <w:pStyle w:val="Odstavecseseznamem"/>
        <w:tabs>
          <w:tab w:val="left" w:pos="426"/>
        </w:tabs>
        <w:overflowPunct/>
        <w:autoSpaceDE/>
        <w:autoSpaceDN/>
        <w:adjustRightInd/>
        <w:spacing w:after="0" w:line="240" w:lineRule="auto"/>
        <w:ind w:left="284" w:hanging="284"/>
        <w:jc w:val="both"/>
        <w:textAlignment w:val="auto"/>
        <w:rPr>
          <w:b/>
          <w:sz w:val="26"/>
          <w:szCs w:val="26"/>
          <w:u w:val="single"/>
        </w:rPr>
      </w:pPr>
    </w:p>
    <w:p w14:paraId="580AAA2A" w14:textId="77777777" w:rsidR="00DC5282" w:rsidRDefault="00DC5282" w:rsidP="00545084">
      <w:pPr>
        <w:pStyle w:val="Odstavecseseznamem"/>
        <w:tabs>
          <w:tab w:val="left" w:pos="426"/>
        </w:tabs>
        <w:overflowPunct/>
        <w:autoSpaceDE/>
        <w:autoSpaceDN/>
        <w:adjustRightInd/>
        <w:spacing w:after="0" w:line="240" w:lineRule="auto"/>
        <w:ind w:left="284" w:hanging="284"/>
        <w:jc w:val="both"/>
        <w:textAlignment w:val="auto"/>
        <w:rPr>
          <w:b/>
          <w:sz w:val="26"/>
          <w:szCs w:val="26"/>
          <w:u w:val="single"/>
        </w:rPr>
      </w:pPr>
    </w:p>
    <w:p w14:paraId="2C2F0093" w14:textId="77777777" w:rsidR="00DC5282" w:rsidRDefault="00DC5282" w:rsidP="00545084">
      <w:pPr>
        <w:pStyle w:val="Odstavecseseznamem"/>
        <w:tabs>
          <w:tab w:val="left" w:pos="426"/>
        </w:tabs>
        <w:overflowPunct/>
        <w:autoSpaceDE/>
        <w:autoSpaceDN/>
        <w:adjustRightInd/>
        <w:spacing w:after="0" w:line="240" w:lineRule="auto"/>
        <w:ind w:left="284" w:hanging="284"/>
        <w:jc w:val="both"/>
        <w:textAlignment w:val="auto"/>
        <w:rPr>
          <w:b/>
          <w:sz w:val="26"/>
          <w:szCs w:val="26"/>
          <w:u w:val="single"/>
        </w:rPr>
      </w:pPr>
    </w:p>
    <w:p w14:paraId="2235CFC9" w14:textId="77777777" w:rsidR="00DC5282" w:rsidRDefault="00DC5282" w:rsidP="00545084">
      <w:pPr>
        <w:pStyle w:val="Odstavecseseznamem"/>
        <w:tabs>
          <w:tab w:val="left" w:pos="426"/>
        </w:tabs>
        <w:overflowPunct/>
        <w:autoSpaceDE/>
        <w:autoSpaceDN/>
        <w:adjustRightInd/>
        <w:spacing w:after="0" w:line="240" w:lineRule="auto"/>
        <w:ind w:left="284" w:hanging="284"/>
        <w:jc w:val="both"/>
        <w:textAlignment w:val="auto"/>
        <w:rPr>
          <w:b/>
          <w:sz w:val="26"/>
          <w:szCs w:val="26"/>
          <w:u w:val="single"/>
        </w:rPr>
      </w:pPr>
    </w:p>
    <w:p w14:paraId="05711755" w14:textId="77777777" w:rsidR="00DC5282" w:rsidRDefault="00DC5282" w:rsidP="00545084">
      <w:pPr>
        <w:pStyle w:val="Odstavecseseznamem"/>
        <w:tabs>
          <w:tab w:val="left" w:pos="426"/>
        </w:tabs>
        <w:overflowPunct/>
        <w:autoSpaceDE/>
        <w:autoSpaceDN/>
        <w:adjustRightInd/>
        <w:spacing w:after="0" w:line="240" w:lineRule="auto"/>
        <w:ind w:left="284" w:hanging="284"/>
        <w:jc w:val="both"/>
        <w:textAlignment w:val="auto"/>
        <w:rPr>
          <w:b/>
          <w:sz w:val="26"/>
          <w:szCs w:val="26"/>
          <w:u w:val="single"/>
        </w:rPr>
      </w:pPr>
    </w:p>
    <w:p w14:paraId="5E98CC07" w14:textId="77777777" w:rsidR="00DC5282" w:rsidRDefault="00DC5282" w:rsidP="00545084">
      <w:pPr>
        <w:pStyle w:val="Odstavecseseznamem"/>
        <w:tabs>
          <w:tab w:val="left" w:pos="426"/>
        </w:tabs>
        <w:overflowPunct/>
        <w:autoSpaceDE/>
        <w:autoSpaceDN/>
        <w:adjustRightInd/>
        <w:spacing w:after="0" w:line="240" w:lineRule="auto"/>
        <w:ind w:left="284" w:hanging="284"/>
        <w:jc w:val="both"/>
        <w:textAlignment w:val="auto"/>
        <w:rPr>
          <w:b/>
          <w:sz w:val="26"/>
          <w:szCs w:val="26"/>
          <w:u w:val="single"/>
        </w:rPr>
      </w:pPr>
    </w:p>
    <w:p w14:paraId="26D81292" w14:textId="77777777" w:rsidR="00DC5282" w:rsidRDefault="00DC5282" w:rsidP="00545084">
      <w:pPr>
        <w:pStyle w:val="Odstavecseseznamem"/>
        <w:tabs>
          <w:tab w:val="left" w:pos="426"/>
        </w:tabs>
        <w:overflowPunct/>
        <w:autoSpaceDE/>
        <w:autoSpaceDN/>
        <w:adjustRightInd/>
        <w:spacing w:after="0" w:line="240" w:lineRule="auto"/>
        <w:ind w:left="284" w:hanging="284"/>
        <w:jc w:val="both"/>
        <w:textAlignment w:val="auto"/>
        <w:rPr>
          <w:b/>
          <w:sz w:val="26"/>
          <w:szCs w:val="26"/>
          <w:u w:val="single"/>
        </w:rPr>
      </w:pPr>
    </w:p>
    <w:p w14:paraId="4A4D1F57" w14:textId="77777777" w:rsidR="00DC5282" w:rsidRDefault="00DC5282" w:rsidP="00545084">
      <w:pPr>
        <w:pStyle w:val="Odstavecseseznamem"/>
        <w:tabs>
          <w:tab w:val="left" w:pos="426"/>
        </w:tabs>
        <w:overflowPunct/>
        <w:autoSpaceDE/>
        <w:autoSpaceDN/>
        <w:adjustRightInd/>
        <w:spacing w:after="0" w:line="240" w:lineRule="auto"/>
        <w:ind w:left="284" w:hanging="284"/>
        <w:jc w:val="both"/>
        <w:textAlignment w:val="auto"/>
        <w:rPr>
          <w:b/>
          <w:sz w:val="26"/>
          <w:szCs w:val="26"/>
          <w:u w:val="single"/>
        </w:rPr>
      </w:pPr>
    </w:p>
    <w:p w14:paraId="57A82310" w14:textId="77777777" w:rsidR="00DC5282" w:rsidRDefault="00DC5282" w:rsidP="00545084">
      <w:pPr>
        <w:pStyle w:val="Odstavecseseznamem"/>
        <w:tabs>
          <w:tab w:val="left" w:pos="426"/>
        </w:tabs>
        <w:overflowPunct/>
        <w:autoSpaceDE/>
        <w:autoSpaceDN/>
        <w:adjustRightInd/>
        <w:spacing w:after="0" w:line="240" w:lineRule="auto"/>
        <w:ind w:left="284" w:hanging="284"/>
        <w:jc w:val="both"/>
        <w:textAlignment w:val="auto"/>
        <w:rPr>
          <w:b/>
          <w:sz w:val="26"/>
          <w:szCs w:val="26"/>
          <w:u w:val="single"/>
        </w:rPr>
      </w:pPr>
    </w:p>
    <w:p w14:paraId="355B8344" w14:textId="77777777" w:rsidR="00C269C9" w:rsidRDefault="00C269C9" w:rsidP="00A118DD">
      <w:pPr>
        <w:tabs>
          <w:tab w:val="left" w:pos="6640"/>
        </w:tabs>
        <w:spacing w:after="0" w:line="240" w:lineRule="auto"/>
        <w:jc w:val="right"/>
        <w:rPr>
          <w:sz w:val="24"/>
          <w:szCs w:val="24"/>
        </w:rPr>
      </w:pPr>
      <w:r w:rsidRPr="00A118DD">
        <w:rPr>
          <w:sz w:val="24"/>
          <w:szCs w:val="24"/>
          <w:u w:val="single"/>
        </w:rPr>
        <w:t>Zdroj dat:</w:t>
      </w:r>
      <w:r w:rsidRPr="00A118DD">
        <w:rPr>
          <w:sz w:val="24"/>
          <w:szCs w:val="24"/>
        </w:rPr>
        <w:t xml:space="preserve"> OTE, a.s., </w:t>
      </w:r>
      <w:r w:rsidRPr="00A118DD">
        <w:rPr>
          <w:sz w:val="24"/>
          <w:szCs w:val="24"/>
          <w:u w:val="single"/>
        </w:rPr>
        <w:t>zdroj grafu:</w:t>
      </w:r>
      <w:r w:rsidRPr="00A118DD">
        <w:rPr>
          <w:sz w:val="24"/>
          <w:szCs w:val="24"/>
        </w:rPr>
        <w:t xml:space="preserve"> MPO</w:t>
      </w:r>
    </w:p>
    <w:p w14:paraId="292AD244" w14:textId="77777777" w:rsidR="00CA77B4" w:rsidRPr="00A118DD" w:rsidRDefault="00CA77B4" w:rsidP="00A118DD">
      <w:pPr>
        <w:tabs>
          <w:tab w:val="left" w:pos="6640"/>
        </w:tabs>
        <w:spacing w:after="0" w:line="240" w:lineRule="auto"/>
        <w:jc w:val="right"/>
        <w:rPr>
          <w:sz w:val="24"/>
          <w:szCs w:val="24"/>
        </w:rPr>
      </w:pPr>
    </w:p>
    <w:p w14:paraId="74C98241" w14:textId="4162CFDC" w:rsidR="00545084" w:rsidRPr="00FD48F4" w:rsidRDefault="00545084" w:rsidP="000B4301">
      <w:pPr>
        <w:pStyle w:val="Nadpis1"/>
        <w:numPr>
          <w:ilvl w:val="0"/>
          <w:numId w:val="24"/>
        </w:numPr>
        <w:ind w:hanging="720"/>
        <w:jc w:val="both"/>
        <w:rPr>
          <w:rFonts w:asciiTheme="majorHAnsi" w:hAnsiTheme="majorHAnsi"/>
          <w:b w:val="0"/>
          <w:sz w:val="32"/>
          <w:szCs w:val="32"/>
        </w:rPr>
      </w:pPr>
      <w:bookmarkStart w:id="10" w:name="_Toc476517924"/>
      <w:r w:rsidRPr="00FD48F4">
        <w:rPr>
          <w:rFonts w:asciiTheme="majorHAnsi" w:hAnsiTheme="majorHAnsi"/>
          <w:sz w:val="32"/>
          <w:szCs w:val="32"/>
        </w:rPr>
        <w:t>Role jednotlivých subjektů při naplňování mechanismu</w:t>
      </w:r>
      <w:bookmarkEnd w:id="10"/>
      <w:r w:rsidR="00156156">
        <w:rPr>
          <w:rFonts w:asciiTheme="majorHAnsi" w:hAnsiTheme="majorHAnsi"/>
          <w:sz w:val="32"/>
          <w:szCs w:val="32"/>
        </w:rPr>
        <w:t xml:space="preserve"> </w:t>
      </w:r>
      <w:r w:rsidR="00777AA3">
        <w:rPr>
          <w:rFonts w:asciiTheme="majorHAnsi" w:hAnsiTheme="majorHAnsi"/>
          <w:sz w:val="32"/>
          <w:szCs w:val="32"/>
        </w:rPr>
        <w:t xml:space="preserve">kontroly přiměřenosti </w:t>
      </w:r>
      <w:r w:rsidR="00156156">
        <w:rPr>
          <w:rFonts w:asciiTheme="majorHAnsi" w:hAnsiTheme="majorHAnsi"/>
          <w:sz w:val="32"/>
          <w:szCs w:val="32"/>
        </w:rPr>
        <w:t xml:space="preserve"> podpory</w:t>
      </w:r>
    </w:p>
    <w:p w14:paraId="0F6639A3" w14:textId="02731C0F" w:rsidR="00812818" w:rsidRPr="000B4301" w:rsidRDefault="00812818" w:rsidP="00812818">
      <w:pPr>
        <w:pStyle w:val="Odstavecseseznamem"/>
        <w:tabs>
          <w:tab w:val="left" w:pos="426"/>
        </w:tabs>
        <w:overflowPunct/>
        <w:autoSpaceDE/>
        <w:autoSpaceDN/>
        <w:adjustRightInd/>
        <w:spacing w:before="100" w:beforeAutospacing="1" w:after="100" w:afterAutospacing="1" w:line="276" w:lineRule="auto"/>
        <w:ind w:left="0"/>
        <w:jc w:val="both"/>
        <w:textAlignment w:val="auto"/>
        <w:rPr>
          <w:sz w:val="24"/>
          <w:szCs w:val="24"/>
        </w:rPr>
      </w:pPr>
      <w:r w:rsidRPr="000B4301">
        <w:rPr>
          <w:sz w:val="24"/>
          <w:szCs w:val="24"/>
        </w:rPr>
        <w:t xml:space="preserve">Naplňování závazku na  mechanismu </w:t>
      </w:r>
      <w:r w:rsidR="00777AA3">
        <w:rPr>
          <w:sz w:val="24"/>
          <w:szCs w:val="24"/>
        </w:rPr>
        <w:t xml:space="preserve">kontroly přiměřenosti </w:t>
      </w:r>
      <w:r w:rsidRPr="000B4301">
        <w:rPr>
          <w:sz w:val="24"/>
          <w:szCs w:val="24"/>
        </w:rPr>
        <w:t xml:space="preserve"> podpory bude provedeno kromě samotných výrobců  elektřiny z OZE na úrovni státní správy  prostřednictvím 3 subjektů, kterými jsou Ministerstvo průmyslu a obchodu, Energetický regulační úřad a operátor trhu. </w:t>
      </w:r>
    </w:p>
    <w:p w14:paraId="205A873F" w14:textId="435B9167" w:rsidR="004426D4" w:rsidRDefault="004426D4" w:rsidP="006A3E80">
      <w:pPr>
        <w:tabs>
          <w:tab w:val="left" w:pos="426"/>
        </w:tabs>
        <w:overflowPunct/>
        <w:autoSpaceDE/>
        <w:autoSpaceDN/>
        <w:adjustRightInd/>
        <w:spacing w:before="100" w:beforeAutospacing="1" w:after="100" w:afterAutospacing="1" w:line="276" w:lineRule="auto"/>
        <w:jc w:val="both"/>
        <w:textAlignment w:val="auto"/>
        <w:rPr>
          <w:sz w:val="24"/>
          <w:szCs w:val="24"/>
        </w:rPr>
      </w:pPr>
      <w:r w:rsidRPr="004426D4">
        <w:rPr>
          <w:sz w:val="24"/>
          <w:szCs w:val="24"/>
        </w:rPr>
        <w:t>Všechny tyto subjekty mají uvedenou svoji pů</w:t>
      </w:r>
      <w:r w:rsidR="00EF3A36">
        <w:rPr>
          <w:sz w:val="24"/>
          <w:szCs w:val="24"/>
        </w:rPr>
        <w:t>s</w:t>
      </w:r>
      <w:r w:rsidRPr="004426D4">
        <w:rPr>
          <w:sz w:val="24"/>
          <w:szCs w:val="24"/>
        </w:rPr>
        <w:t>o</w:t>
      </w:r>
      <w:r>
        <w:rPr>
          <w:sz w:val="24"/>
          <w:szCs w:val="24"/>
        </w:rPr>
        <w:t>b</w:t>
      </w:r>
      <w:r w:rsidRPr="004426D4">
        <w:rPr>
          <w:sz w:val="24"/>
          <w:szCs w:val="24"/>
        </w:rPr>
        <w:t>nost a rozsah kompe</w:t>
      </w:r>
      <w:r w:rsidR="00EF3A36">
        <w:rPr>
          <w:sz w:val="24"/>
          <w:szCs w:val="24"/>
        </w:rPr>
        <w:t>ten</w:t>
      </w:r>
      <w:r w:rsidRPr="004426D4">
        <w:rPr>
          <w:sz w:val="24"/>
          <w:szCs w:val="24"/>
        </w:rPr>
        <w:t>cí v zákoně č. 458/2000 Sb., o podmínkách podnikání a o výkonu státní správy v energetických odvětvích a o změně některých zákonů (energetický zákon)</w:t>
      </w:r>
      <w:r>
        <w:rPr>
          <w:sz w:val="24"/>
          <w:szCs w:val="24"/>
        </w:rPr>
        <w:t>.</w:t>
      </w:r>
    </w:p>
    <w:p w14:paraId="35982248" w14:textId="352E99B4" w:rsidR="004426D4" w:rsidRDefault="004426D4" w:rsidP="006A3E80">
      <w:pPr>
        <w:tabs>
          <w:tab w:val="left" w:pos="426"/>
        </w:tabs>
        <w:overflowPunct/>
        <w:autoSpaceDE/>
        <w:autoSpaceDN/>
        <w:adjustRightInd/>
        <w:spacing w:before="100" w:beforeAutospacing="1" w:after="100" w:afterAutospacing="1" w:line="276" w:lineRule="auto"/>
        <w:jc w:val="both"/>
        <w:textAlignment w:val="auto"/>
        <w:rPr>
          <w:sz w:val="24"/>
          <w:szCs w:val="24"/>
        </w:rPr>
      </w:pPr>
      <w:r>
        <w:rPr>
          <w:sz w:val="24"/>
          <w:szCs w:val="24"/>
        </w:rPr>
        <w:t>Minister</w:t>
      </w:r>
      <w:r w:rsidR="005821FA">
        <w:rPr>
          <w:sz w:val="24"/>
          <w:szCs w:val="24"/>
        </w:rPr>
        <w:t>s</w:t>
      </w:r>
      <w:r>
        <w:rPr>
          <w:sz w:val="24"/>
          <w:szCs w:val="24"/>
        </w:rPr>
        <w:t>tvo průmyslu a obchodu v ustanovení § 16 zákona, Energetický regulační úřad v ustanovení § 17 a společnost OTE, a.s.</w:t>
      </w:r>
      <w:r w:rsidR="00EF3A36">
        <w:rPr>
          <w:sz w:val="24"/>
          <w:szCs w:val="24"/>
        </w:rPr>
        <w:t>,</w:t>
      </w:r>
      <w:r>
        <w:rPr>
          <w:sz w:val="24"/>
          <w:szCs w:val="24"/>
        </w:rPr>
        <w:t xml:space="preserve"> (operátor trhu) v ustanovení § 20a </w:t>
      </w:r>
      <w:r w:rsidR="00EF3A36">
        <w:rPr>
          <w:sz w:val="24"/>
          <w:szCs w:val="24"/>
        </w:rPr>
        <w:t xml:space="preserve">energetického </w:t>
      </w:r>
      <w:r>
        <w:rPr>
          <w:sz w:val="24"/>
          <w:szCs w:val="24"/>
        </w:rPr>
        <w:t>zákona.</w:t>
      </w:r>
    </w:p>
    <w:p w14:paraId="348E5F17" w14:textId="15081CE8" w:rsidR="004426D4" w:rsidRDefault="004426D4" w:rsidP="006A3E80">
      <w:pPr>
        <w:tabs>
          <w:tab w:val="left" w:pos="426"/>
        </w:tabs>
        <w:overflowPunct/>
        <w:autoSpaceDE/>
        <w:autoSpaceDN/>
        <w:adjustRightInd/>
        <w:spacing w:before="100" w:beforeAutospacing="1" w:after="100" w:afterAutospacing="1" w:line="276" w:lineRule="auto"/>
        <w:jc w:val="both"/>
        <w:textAlignment w:val="auto"/>
        <w:rPr>
          <w:sz w:val="24"/>
          <w:szCs w:val="24"/>
        </w:rPr>
      </w:pPr>
      <w:r>
        <w:rPr>
          <w:sz w:val="24"/>
          <w:szCs w:val="24"/>
        </w:rPr>
        <w:t>Základní ustanovení</w:t>
      </w:r>
      <w:r w:rsidR="00EF3A36">
        <w:rPr>
          <w:sz w:val="24"/>
          <w:szCs w:val="24"/>
        </w:rPr>
        <w:t>,</w:t>
      </w:r>
      <w:r>
        <w:rPr>
          <w:sz w:val="24"/>
          <w:szCs w:val="24"/>
        </w:rPr>
        <w:t xml:space="preserve"> na základě které</w:t>
      </w:r>
      <w:r w:rsidR="00EF3A36">
        <w:rPr>
          <w:sz w:val="24"/>
          <w:szCs w:val="24"/>
        </w:rPr>
        <w:t>ho</w:t>
      </w:r>
      <w:r>
        <w:rPr>
          <w:sz w:val="24"/>
          <w:szCs w:val="24"/>
        </w:rPr>
        <w:t xml:space="preserve"> by u příslušných výrobců elektřiny mohl být proveden mechanismus</w:t>
      </w:r>
      <w:r w:rsidR="00777AA3">
        <w:rPr>
          <w:sz w:val="24"/>
          <w:szCs w:val="24"/>
        </w:rPr>
        <w:t xml:space="preserve"> kontroly přiměřenosti podpory</w:t>
      </w:r>
      <w:r w:rsidR="00EF3A36">
        <w:rPr>
          <w:sz w:val="24"/>
          <w:szCs w:val="24"/>
        </w:rPr>
        <w:t>,</w:t>
      </w:r>
      <w:r>
        <w:rPr>
          <w:sz w:val="24"/>
          <w:szCs w:val="24"/>
        </w:rPr>
        <w:t xml:space="preserve"> je </w:t>
      </w:r>
      <w:r w:rsidR="00EF3A36">
        <w:rPr>
          <w:sz w:val="24"/>
          <w:szCs w:val="24"/>
        </w:rPr>
        <w:t xml:space="preserve">uvedeno </w:t>
      </w:r>
      <w:r>
        <w:rPr>
          <w:sz w:val="24"/>
          <w:szCs w:val="24"/>
        </w:rPr>
        <w:t xml:space="preserve">v § 11 zákona, kde ustanovení odst. 1 písm. e) </w:t>
      </w:r>
      <w:r w:rsidR="00EF3A36">
        <w:rPr>
          <w:sz w:val="24"/>
          <w:szCs w:val="24"/>
        </w:rPr>
        <w:t>stanovuje</w:t>
      </w:r>
      <w:r>
        <w:rPr>
          <w:sz w:val="24"/>
          <w:szCs w:val="24"/>
        </w:rPr>
        <w:t xml:space="preserve">, že držitel licence má povinnost </w:t>
      </w:r>
      <w:r w:rsidRPr="004426D4">
        <w:rPr>
          <w:sz w:val="24"/>
          <w:szCs w:val="24"/>
        </w:rPr>
        <w:t xml:space="preserve">poskytovat ministerstvu a Energetickému regulačnímu úřadu pravdivé a úplné informace a podklady </w:t>
      </w:r>
      <w:r w:rsidRPr="004426D4">
        <w:rPr>
          <w:sz w:val="24"/>
          <w:szCs w:val="24"/>
        </w:rPr>
        <w:lastRenderedPageBreak/>
        <w:t>nezbytné pro výkon jejich zákonem stanovených oprávnění a umožnit jim přístup k zařízením, která k výkonu licencované činnosti slouží</w:t>
      </w:r>
      <w:r>
        <w:rPr>
          <w:sz w:val="24"/>
          <w:szCs w:val="24"/>
        </w:rPr>
        <w:t>.</w:t>
      </w:r>
    </w:p>
    <w:p w14:paraId="76412B71" w14:textId="6D8095B5" w:rsidR="00812818" w:rsidRPr="00E32A4B" w:rsidRDefault="00020069" w:rsidP="00020069">
      <w:pPr>
        <w:pStyle w:val="Odstavecseseznamem"/>
        <w:tabs>
          <w:tab w:val="left" w:pos="426"/>
        </w:tabs>
        <w:overflowPunct/>
        <w:autoSpaceDE/>
        <w:autoSpaceDN/>
        <w:adjustRightInd/>
        <w:spacing w:before="100" w:beforeAutospacing="1" w:after="100" w:afterAutospacing="1" w:line="276" w:lineRule="auto"/>
        <w:ind w:left="0"/>
        <w:jc w:val="both"/>
        <w:textAlignment w:val="auto"/>
        <w:rPr>
          <w:sz w:val="24"/>
          <w:szCs w:val="24"/>
          <w:u w:val="single"/>
        </w:rPr>
      </w:pPr>
      <w:r w:rsidRPr="00020069">
        <w:rPr>
          <w:i/>
          <w:sz w:val="24"/>
          <w:szCs w:val="24"/>
        </w:rPr>
        <w:t xml:space="preserve">a)    </w:t>
      </w:r>
      <w:r w:rsidRPr="00E32A4B">
        <w:rPr>
          <w:sz w:val="24"/>
          <w:szCs w:val="24"/>
        </w:rPr>
        <w:t xml:space="preserve"> </w:t>
      </w:r>
      <w:r w:rsidR="00812818" w:rsidRPr="00E32A4B">
        <w:rPr>
          <w:sz w:val="24"/>
          <w:szCs w:val="24"/>
          <w:u w:val="single"/>
        </w:rPr>
        <w:t>operátor trhu</w:t>
      </w:r>
    </w:p>
    <w:p w14:paraId="3D2C8184" w14:textId="77777777" w:rsidR="00812818" w:rsidRPr="00E32A4B" w:rsidRDefault="00812818" w:rsidP="00812818">
      <w:pPr>
        <w:pStyle w:val="Odstavecseseznamem"/>
        <w:tabs>
          <w:tab w:val="left" w:pos="426"/>
        </w:tabs>
        <w:overflowPunct/>
        <w:autoSpaceDE/>
        <w:autoSpaceDN/>
        <w:adjustRightInd/>
        <w:spacing w:before="100" w:beforeAutospacing="1" w:after="100" w:afterAutospacing="1" w:line="276" w:lineRule="auto"/>
        <w:jc w:val="both"/>
        <w:textAlignment w:val="auto"/>
        <w:rPr>
          <w:b/>
          <w:sz w:val="24"/>
          <w:szCs w:val="24"/>
        </w:rPr>
      </w:pPr>
    </w:p>
    <w:p w14:paraId="605AF24A" w14:textId="73499F43" w:rsidR="00812818" w:rsidRPr="00E32A4B" w:rsidRDefault="00812818" w:rsidP="00812818">
      <w:pPr>
        <w:pStyle w:val="Odstavecseseznamem"/>
        <w:tabs>
          <w:tab w:val="left" w:pos="426"/>
        </w:tabs>
        <w:overflowPunct/>
        <w:autoSpaceDE/>
        <w:autoSpaceDN/>
        <w:adjustRightInd/>
        <w:spacing w:before="100" w:beforeAutospacing="1" w:after="100" w:afterAutospacing="1" w:line="276" w:lineRule="auto"/>
        <w:ind w:left="0"/>
        <w:jc w:val="both"/>
        <w:textAlignment w:val="auto"/>
        <w:rPr>
          <w:sz w:val="24"/>
          <w:szCs w:val="24"/>
        </w:rPr>
      </w:pPr>
      <w:r w:rsidRPr="00E32A4B">
        <w:rPr>
          <w:sz w:val="24"/>
          <w:szCs w:val="24"/>
        </w:rPr>
        <w:t xml:space="preserve">Při provádění mechanismu </w:t>
      </w:r>
      <w:r w:rsidR="00777AA3">
        <w:rPr>
          <w:sz w:val="24"/>
          <w:szCs w:val="24"/>
        </w:rPr>
        <w:t xml:space="preserve">kontroly přiměřenosti podpory </w:t>
      </w:r>
      <w:r w:rsidRPr="00E32A4B">
        <w:rPr>
          <w:sz w:val="24"/>
          <w:szCs w:val="24"/>
        </w:rPr>
        <w:t>se navrhuje, aby hlavní podíl naplňování tohoto závazku byl uskutečněn prostřednictvím operátora trhu. Operátor trhu již v současné době disponuje informacemi o všech registrovaných výrobcích elektřiny z OZE a těmto výrobcům vyplácí podporu a to bud přímo v případě zeleného bonusu nebo prostřednictvím tzv. povinně vykupujícího, kterému vyplácí rozdíl mezi výkupní cenou a tržní cenou elektřiny. Tento subjekt tedy má detailní přehled o všech vyplacených podporách danému zdroji i souhrnně po jednotlivých výrobcích elektřiny z OZE včetně informací o čerpané investiční podpoře u daného zdroje zadávané  výrobci elektřiny z OZE do systému operátora trhu v souvislosti s povinnostmi vyplývajícími ze zákona č. 165/2012 Sb., o podporovaných zdrojích energie a o změně některých zákonů (zákon č. 165/2012 Sb.).</w:t>
      </w:r>
    </w:p>
    <w:p w14:paraId="1C0DE451" w14:textId="06A74E3A" w:rsidR="00812818" w:rsidRPr="00E32A4B" w:rsidRDefault="00812818" w:rsidP="00812818">
      <w:pPr>
        <w:tabs>
          <w:tab w:val="left" w:pos="426"/>
        </w:tabs>
        <w:overflowPunct/>
        <w:autoSpaceDE/>
        <w:autoSpaceDN/>
        <w:adjustRightInd/>
        <w:spacing w:before="100" w:beforeAutospacing="1" w:after="100" w:afterAutospacing="1" w:line="276" w:lineRule="auto"/>
        <w:jc w:val="both"/>
        <w:textAlignment w:val="auto"/>
        <w:rPr>
          <w:sz w:val="24"/>
          <w:szCs w:val="24"/>
        </w:rPr>
      </w:pPr>
      <w:r w:rsidRPr="00E32A4B">
        <w:rPr>
          <w:sz w:val="24"/>
          <w:szCs w:val="24"/>
        </w:rPr>
        <w:t xml:space="preserve">Pro provedení mechanismu </w:t>
      </w:r>
      <w:r w:rsidR="00777AA3">
        <w:rPr>
          <w:sz w:val="24"/>
          <w:szCs w:val="24"/>
        </w:rPr>
        <w:t xml:space="preserve">kontroly přiměřenosti podpory </w:t>
      </w:r>
      <w:r w:rsidRPr="00E32A4B">
        <w:rPr>
          <w:sz w:val="24"/>
          <w:szCs w:val="24"/>
        </w:rPr>
        <w:t>se nav</w:t>
      </w:r>
      <w:r w:rsidR="007F7648">
        <w:rPr>
          <w:sz w:val="24"/>
          <w:szCs w:val="24"/>
        </w:rPr>
        <w:t>r</w:t>
      </w:r>
      <w:r w:rsidRPr="00E32A4B">
        <w:rPr>
          <w:sz w:val="24"/>
          <w:szCs w:val="24"/>
        </w:rPr>
        <w:t>huje jako vhodné posílit působnost a práva operátora trhu a povinnosti výrobců energie z OZE, a to jak v zákoně č. 458/2000 Sb., o podmínkách podnikání a o výkonu státní správy v energetických odvětvích a o změně některých zákonů (energetický zákon), tak v zákoně č. 165/2012 Sb.. Mělo by  se jednat především o povinnosti výrobců elektřiny z OZE, které se budou týkat</w:t>
      </w:r>
      <w:r w:rsidR="007F7648">
        <w:rPr>
          <w:sz w:val="24"/>
          <w:szCs w:val="24"/>
        </w:rPr>
        <w:t xml:space="preserve"> </w:t>
      </w:r>
      <w:r w:rsidRPr="00E32A4B">
        <w:rPr>
          <w:sz w:val="24"/>
          <w:szCs w:val="24"/>
        </w:rPr>
        <w:t>elektronického  předávání informací k provedení mechanismu</w:t>
      </w:r>
      <w:r w:rsidR="00777AA3">
        <w:rPr>
          <w:sz w:val="24"/>
          <w:szCs w:val="24"/>
        </w:rPr>
        <w:t xml:space="preserve"> kontroly přiměřenosti podpory</w:t>
      </w:r>
      <w:r w:rsidRPr="00E32A4B">
        <w:rPr>
          <w:sz w:val="24"/>
          <w:szCs w:val="24"/>
        </w:rPr>
        <w:t xml:space="preserve"> prostřednictvím výkazů předávaných od jednotlivých výrobců elektřiny z OZE  operátorovi trhu, tak jak jsou i v současném stavu obdobné výkazy pravidelně, prostřednictvím systému operátora trhu, předávány pro výplatu podpory výrobcům elektřiny z OZE. Půjde tak o úpravu a rozšíření dnes již pravidelně předávaných výkazů od výrobce elektřiny z OZE operátorovi trhu prostřednictvím vyhlášky č. 145/2016 Sb., o vykazování elektřiny a tepla z podporovaných zdrojů a k provedení některých dalších ustanovení zákona o podporovaných zdrojích energie (vyhláška o vykazování energie z podporovaných zdrojů).</w:t>
      </w:r>
    </w:p>
    <w:p w14:paraId="5BFCAC53" w14:textId="5B70A8C9" w:rsidR="00812818" w:rsidRPr="00E32A4B" w:rsidRDefault="00812818" w:rsidP="00812818">
      <w:pPr>
        <w:tabs>
          <w:tab w:val="left" w:pos="426"/>
        </w:tabs>
        <w:overflowPunct/>
        <w:autoSpaceDE/>
        <w:autoSpaceDN/>
        <w:adjustRightInd/>
        <w:spacing w:before="100" w:beforeAutospacing="1" w:after="100" w:afterAutospacing="1" w:line="276" w:lineRule="auto"/>
        <w:jc w:val="both"/>
        <w:textAlignment w:val="auto"/>
        <w:rPr>
          <w:sz w:val="24"/>
          <w:szCs w:val="24"/>
        </w:rPr>
      </w:pPr>
      <w:r w:rsidRPr="00E32A4B">
        <w:rPr>
          <w:sz w:val="24"/>
          <w:szCs w:val="24"/>
        </w:rPr>
        <w:t>Zároveň bude potřeba zajistit úpravu informačního systému operátora trhu</w:t>
      </w:r>
      <w:r w:rsidRPr="00E32A4B">
        <w:rPr>
          <w:b/>
          <w:sz w:val="24"/>
          <w:szCs w:val="24"/>
        </w:rPr>
        <w:t xml:space="preserve"> </w:t>
      </w:r>
      <w:r w:rsidRPr="00E32A4B">
        <w:rPr>
          <w:sz w:val="24"/>
          <w:szCs w:val="24"/>
        </w:rPr>
        <w:t xml:space="preserve">tak, aby mohl průběžně vyhodnocovat a sledovat naplňování výše hranice podpory o hodnotě de minimis, sledovat termíny pro provedení mechanismu </w:t>
      </w:r>
      <w:r w:rsidR="00777AA3">
        <w:rPr>
          <w:sz w:val="24"/>
          <w:szCs w:val="24"/>
        </w:rPr>
        <w:t xml:space="preserve">kontroly přiměřenosti podpory </w:t>
      </w:r>
      <w:r w:rsidRPr="00E32A4B">
        <w:rPr>
          <w:sz w:val="24"/>
          <w:szCs w:val="24"/>
        </w:rPr>
        <w:t xml:space="preserve">u jednotlivých zdrojů a mohl eventuálně tyto zdroje včas na prováděnou kontrolu upozornit (vyhláška č. 145/2016 Sb.). Dále bude potřeba informační systém operátora trhu upravit tak, aby mohl být propojen (nebo čerpat informace) z centrálního registru podpory de minimis tak, aby mohlo docházet ze stany operátora trhu k přesnému vymezení jednotlivých zdrojů a subjektů čerpajících podporu pod „hranici de minimis“ ve smyslu nařízení Komise (EU) č. 1407/2013 ze dne 18. prosince 2013 o použití článků 107 a 108 Smlouvy o fungování Evropské unie na podporu de minimis.  Operátor trhu má o daném subjektu informace pouze o čerpané provozní podpoře anebo investiční podpoře za zdroj nebo celý subjekt (výrobce elektřiny z OZE), a z toho také vyplývají výsledky o rozsahu a dopadu navrženého </w:t>
      </w:r>
      <w:r w:rsidRPr="00E32A4B">
        <w:rPr>
          <w:sz w:val="24"/>
          <w:szCs w:val="24"/>
        </w:rPr>
        <w:lastRenderedPageBreak/>
        <w:t>kontrolního mech</w:t>
      </w:r>
      <w:r w:rsidR="007F7648">
        <w:rPr>
          <w:sz w:val="24"/>
          <w:szCs w:val="24"/>
        </w:rPr>
        <w:t>a</w:t>
      </w:r>
      <w:r w:rsidRPr="00E32A4B">
        <w:rPr>
          <w:sz w:val="24"/>
          <w:szCs w:val="24"/>
        </w:rPr>
        <w:t>nismu v tomto materiálu. Subjektu čerpající podporu však mohla být udělena také další veřejná podpora (např. ze zemědělského sektoru na obdělávanou/neobdělávanou půdu, na živočišnou výrobu apod.), kdy i tuto podporu je potřeba do hodnoty de minimis zahrnout. Uvedenými informacemi operátor trhu nedisponuje.</w:t>
      </w:r>
    </w:p>
    <w:p w14:paraId="4DF6232B" w14:textId="77777777" w:rsidR="00812818" w:rsidRPr="00E32A4B" w:rsidRDefault="00812818" w:rsidP="00812818">
      <w:pPr>
        <w:pStyle w:val="Odstavecseseznamem"/>
        <w:tabs>
          <w:tab w:val="left" w:pos="426"/>
        </w:tabs>
        <w:overflowPunct/>
        <w:autoSpaceDE/>
        <w:autoSpaceDN/>
        <w:adjustRightInd/>
        <w:spacing w:before="100" w:beforeAutospacing="1" w:after="100" w:afterAutospacing="1" w:line="276" w:lineRule="auto"/>
        <w:ind w:left="0"/>
        <w:jc w:val="both"/>
        <w:textAlignment w:val="auto"/>
        <w:rPr>
          <w:sz w:val="24"/>
          <w:szCs w:val="24"/>
          <w:u w:val="single"/>
        </w:rPr>
      </w:pPr>
      <w:r w:rsidRPr="00E32A4B">
        <w:rPr>
          <w:sz w:val="24"/>
          <w:szCs w:val="24"/>
        </w:rPr>
        <w:t xml:space="preserve">b)       </w:t>
      </w:r>
      <w:r w:rsidRPr="00E32A4B">
        <w:rPr>
          <w:sz w:val="24"/>
          <w:szCs w:val="24"/>
          <w:u w:val="single"/>
        </w:rPr>
        <w:t>Ministerstvo průmyslu a obchodu</w:t>
      </w:r>
    </w:p>
    <w:p w14:paraId="76AFFDF6" w14:textId="77777777" w:rsidR="00812818" w:rsidRDefault="00812818" w:rsidP="00812818">
      <w:pPr>
        <w:tabs>
          <w:tab w:val="left" w:pos="426"/>
        </w:tabs>
        <w:overflowPunct/>
        <w:autoSpaceDE/>
        <w:autoSpaceDN/>
        <w:adjustRightInd/>
        <w:spacing w:before="100" w:beforeAutospacing="1" w:after="100" w:afterAutospacing="1" w:line="276" w:lineRule="auto"/>
        <w:jc w:val="both"/>
        <w:textAlignment w:val="auto"/>
        <w:rPr>
          <w:rFonts w:cstheme="minorHAnsi"/>
          <w:sz w:val="24"/>
          <w:szCs w:val="24"/>
        </w:rPr>
      </w:pPr>
      <w:r w:rsidRPr="00E32A4B">
        <w:rPr>
          <w:sz w:val="24"/>
          <w:szCs w:val="24"/>
        </w:rPr>
        <w:t>Ve vazbě na sekundární legislativu bude potřeba upravit vyhlášku Ministerstva průmyslu a obchodu č. 145/2016 Sb., kde by měly být doplněny příslušné výkazy, které by výrobce elektřiny předával operátorovi trhu k provedení jak kontroly reprezentativního vzorku zdrojů v případě, že zdroj čerpá pouze podporu elektřiny z OZE, tak také pro případ, že zdroj kumuluje několik podpor. K tomu bude muset být vytvořen a používán speciální výkaz.</w:t>
      </w:r>
      <w:r w:rsidRPr="00E32A4B">
        <w:rPr>
          <w:rFonts w:cstheme="minorHAnsi"/>
          <w:sz w:val="24"/>
          <w:szCs w:val="24"/>
        </w:rPr>
        <w:t xml:space="preserve"> Z důvodu úpravy rozsahu výše uvedené vyhlášky by připravovaná novela zákona č. 165/2012 Sb., měla obsahovat i rozšíření zmocnění k vydání takto upraveného prováděcího předpisu Ministerstva průmyslu a obchodu.</w:t>
      </w:r>
    </w:p>
    <w:p w14:paraId="58AEC24C" w14:textId="77777777" w:rsidR="00812818" w:rsidRPr="00E32A4B" w:rsidRDefault="00812818" w:rsidP="00812818">
      <w:pPr>
        <w:pStyle w:val="Odstavecseseznamem"/>
        <w:tabs>
          <w:tab w:val="left" w:pos="426"/>
        </w:tabs>
        <w:overflowPunct/>
        <w:autoSpaceDE/>
        <w:autoSpaceDN/>
        <w:adjustRightInd/>
        <w:spacing w:before="100" w:beforeAutospacing="1" w:after="100" w:afterAutospacing="1" w:line="276" w:lineRule="auto"/>
        <w:ind w:left="0"/>
        <w:jc w:val="both"/>
        <w:textAlignment w:val="auto"/>
        <w:rPr>
          <w:sz w:val="24"/>
          <w:szCs w:val="24"/>
          <w:u w:val="single"/>
        </w:rPr>
      </w:pPr>
      <w:r w:rsidRPr="00E32A4B">
        <w:rPr>
          <w:sz w:val="24"/>
          <w:szCs w:val="24"/>
        </w:rPr>
        <w:t xml:space="preserve">c)      </w:t>
      </w:r>
      <w:r w:rsidRPr="00E32A4B">
        <w:rPr>
          <w:sz w:val="24"/>
          <w:szCs w:val="24"/>
          <w:u w:val="single"/>
        </w:rPr>
        <w:t>Energetický regulační úřad</w:t>
      </w:r>
    </w:p>
    <w:p w14:paraId="4360C83C" w14:textId="461FA542" w:rsidR="00812818" w:rsidRPr="00E32A4B" w:rsidRDefault="00812818" w:rsidP="00812818">
      <w:pPr>
        <w:tabs>
          <w:tab w:val="left" w:pos="426"/>
        </w:tabs>
        <w:overflowPunct/>
        <w:autoSpaceDE/>
        <w:autoSpaceDN/>
        <w:adjustRightInd/>
        <w:spacing w:before="100" w:beforeAutospacing="1" w:after="100" w:afterAutospacing="1" w:line="276" w:lineRule="auto"/>
        <w:jc w:val="both"/>
        <w:textAlignment w:val="auto"/>
        <w:rPr>
          <w:sz w:val="24"/>
          <w:szCs w:val="24"/>
        </w:rPr>
      </w:pPr>
      <w:r w:rsidRPr="00E32A4B">
        <w:rPr>
          <w:sz w:val="24"/>
          <w:szCs w:val="24"/>
        </w:rPr>
        <w:t xml:space="preserve">V případě, že by operátor trhu při vyhodnocování údajů v některých předkládaných výkazech určených pro mechanismus </w:t>
      </w:r>
      <w:r w:rsidR="00777AA3">
        <w:rPr>
          <w:sz w:val="24"/>
          <w:szCs w:val="24"/>
        </w:rPr>
        <w:t xml:space="preserve">kontroly přiměřenosti podpory </w:t>
      </w:r>
      <w:r w:rsidRPr="00E32A4B">
        <w:rPr>
          <w:sz w:val="24"/>
          <w:szCs w:val="24"/>
        </w:rPr>
        <w:t>identifikoval nepřesnosti, anomálie, případně nesoučinnost výrobce elektřiny s prováděním mechanismu</w:t>
      </w:r>
      <w:r w:rsidR="00777AA3">
        <w:rPr>
          <w:sz w:val="24"/>
          <w:szCs w:val="24"/>
        </w:rPr>
        <w:t xml:space="preserve"> kontroly přiměřenosti podpory</w:t>
      </w:r>
      <w:r w:rsidRPr="00E32A4B">
        <w:rPr>
          <w:sz w:val="24"/>
          <w:szCs w:val="24"/>
        </w:rPr>
        <w:t>, pak by předal podnět k prošetření Energetickému regulačnímu úřadu.</w:t>
      </w:r>
    </w:p>
    <w:p w14:paraId="0E09E56F" w14:textId="77777777" w:rsidR="002868B8" w:rsidRDefault="002868B8" w:rsidP="008E7B32">
      <w:pPr>
        <w:pStyle w:val="Nadpis1"/>
        <w:jc w:val="both"/>
        <w:rPr>
          <w:rFonts w:asciiTheme="majorHAnsi" w:hAnsiTheme="majorHAnsi"/>
          <w:sz w:val="32"/>
          <w:szCs w:val="32"/>
        </w:rPr>
      </w:pPr>
      <w:bookmarkStart w:id="11" w:name="_Toc476517925"/>
    </w:p>
    <w:p w14:paraId="6E1DB4BC" w14:textId="3785424E" w:rsidR="00624A92" w:rsidRPr="00FD48F4" w:rsidRDefault="00624A92" w:rsidP="008E7B32">
      <w:pPr>
        <w:pStyle w:val="Nadpis1"/>
        <w:jc w:val="both"/>
        <w:rPr>
          <w:rFonts w:asciiTheme="majorHAnsi" w:hAnsiTheme="majorHAnsi"/>
          <w:b w:val="0"/>
          <w:sz w:val="32"/>
          <w:szCs w:val="32"/>
        </w:rPr>
      </w:pPr>
      <w:r w:rsidRPr="00FD48F4">
        <w:rPr>
          <w:rFonts w:asciiTheme="majorHAnsi" w:hAnsiTheme="majorHAnsi"/>
          <w:sz w:val="32"/>
          <w:szCs w:val="32"/>
        </w:rPr>
        <w:t xml:space="preserve">Příloha č. 1 Srovnání rozdílů v závazcích na </w:t>
      </w:r>
      <w:r w:rsidR="00156156">
        <w:rPr>
          <w:rFonts w:asciiTheme="majorHAnsi" w:hAnsiTheme="majorHAnsi"/>
          <w:sz w:val="32"/>
          <w:szCs w:val="32"/>
        </w:rPr>
        <w:t xml:space="preserve">mechanismus </w:t>
      </w:r>
      <w:r w:rsidR="00777AA3">
        <w:rPr>
          <w:rFonts w:asciiTheme="majorHAnsi" w:hAnsiTheme="majorHAnsi"/>
          <w:sz w:val="32"/>
          <w:szCs w:val="32"/>
        </w:rPr>
        <w:t xml:space="preserve">kontroly přiměřenosti </w:t>
      </w:r>
      <w:r w:rsidR="00156156">
        <w:rPr>
          <w:rFonts w:asciiTheme="majorHAnsi" w:hAnsiTheme="majorHAnsi"/>
          <w:sz w:val="32"/>
          <w:szCs w:val="32"/>
        </w:rPr>
        <w:t xml:space="preserve"> podpory zavedený </w:t>
      </w:r>
      <w:r w:rsidRPr="00FD48F4">
        <w:rPr>
          <w:rFonts w:asciiTheme="majorHAnsi" w:hAnsiTheme="majorHAnsi"/>
          <w:sz w:val="32"/>
          <w:szCs w:val="32"/>
        </w:rPr>
        <w:t xml:space="preserve">v  rozhodnutích </w:t>
      </w:r>
      <w:r w:rsidR="00156156">
        <w:rPr>
          <w:rFonts w:asciiTheme="majorHAnsi" w:hAnsiTheme="majorHAnsi"/>
          <w:sz w:val="32"/>
          <w:szCs w:val="32"/>
        </w:rPr>
        <w:t>Evrop</w:t>
      </w:r>
      <w:r w:rsidR="007F7648">
        <w:rPr>
          <w:rFonts w:asciiTheme="majorHAnsi" w:hAnsiTheme="majorHAnsi"/>
          <w:sz w:val="32"/>
          <w:szCs w:val="32"/>
        </w:rPr>
        <w:t>s</w:t>
      </w:r>
      <w:r w:rsidR="00156156">
        <w:rPr>
          <w:rFonts w:asciiTheme="majorHAnsi" w:hAnsiTheme="majorHAnsi"/>
          <w:sz w:val="32"/>
          <w:szCs w:val="32"/>
        </w:rPr>
        <w:t xml:space="preserve">ké komise o slučitelnosti podpory s vnitřním trhem EU ve </w:t>
      </w:r>
      <w:r w:rsidRPr="00FD48F4">
        <w:rPr>
          <w:rFonts w:asciiTheme="majorHAnsi" w:hAnsiTheme="majorHAnsi"/>
          <w:sz w:val="32"/>
          <w:szCs w:val="32"/>
        </w:rPr>
        <w:t xml:space="preserve">zkoumaných členských </w:t>
      </w:r>
      <w:bookmarkEnd w:id="11"/>
      <w:r w:rsidR="00156156" w:rsidRPr="00FD48F4">
        <w:rPr>
          <w:rFonts w:asciiTheme="majorHAnsi" w:hAnsiTheme="majorHAnsi"/>
          <w:sz w:val="32"/>
          <w:szCs w:val="32"/>
        </w:rPr>
        <w:t>stát</w:t>
      </w:r>
      <w:r w:rsidR="00156156">
        <w:rPr>
          <w:rFonts w:asciiTheme="majorHAnsi" w:hAnsiTheme="majorHAnsi"/>
          <w:sz w:val="32"/>
          <w:szCs w:val="32"/>
        </w:rPr>
        <w:t>ech</w:t>
      </w:r>
      <w:r w:rsidR="00156156" w:rsidRPr="00FD48F4">
        <w:rPr>
          <w:rFonts w:asciiTheme="majorHAnsi" w:hAnsiTheme="majorHAnsi"/>
          <w:sz w:val="32"/>
          <w:szCs w:val="32"/>
        </w:rPr>
        <w:t xml:space="preserve"> </w:t>
      </w:r>
    </w:p>
    <w:p w14:paraId="04AB8125" w14:textId="77777777" w:rsidR="00624A92" w:rsidRDefault="00624A92" w:rsidP="00624A92">
      <w:pPr>
        <w:pStyle w:val="Normlnweb"/>
        <w:spacing w:before="0" w:beforeAutospacing="0" w:after="0" w:afterAutospacing="0"/>
        <w:jc w:val="both"/>
      </w:pPr>
    </w:p>
    <w:p w14:paraId="42860AD5" w14:textId="77777777" w:rsidR="00624A92" w:rsidRDefault="00624A92" w:rsidP="00624A92">
      <w:pPr>
        <w:pStyle w:val="Normlnweb"/>
        <w:spacing w:before="0" w:beforeAutospacing="0" w:after="0" w:afterAutospacing="0"/>
        <w:jc w:val="both"/>
        <w:rPr>
          <w:b/>
          <w:highlight w:val="yellow"/>
          <w:u w:val="single"/>
        </w:rPr>
      </w:pPr>
    </w:p>
    <w:p w14:paraId="2B5A7588" w14:textId="77777777" w:rsidR="00624A92" w:rsidRPr="001E2F79" w:rsidRDefault="00624A92" w:rsidP="000B4301">
      <w:pPr>
        <w:pStyle w:val="Normlnweb"/>
        <w:numPr>
          <w:ilvl w:val="0"/>
          <w:numId w:val="17"/>
        </w:numPr>
        <w:spacing w:before="0" w:beforeAutospacing="0" w:after="0" w:afterAutospacing="0"/>
        <w:ind w:left="426" w:hanging="426"/>
        <w:jc w:val="both"/>
        <w:rPr>
          <w:rFonts w:asciiTheme="minorHAnsi" w:hAnsiTheme="minorHAnsi"/>
          <w:b/>
        </w:rPr>
      </w:pPr>
      <w:r w:rsidRPr="001E2F79">
        <w:rPr>
          <w:rFonts w:asciiTheme="minorHAnsi" w:hAnsiTheme="minorHAnsi"/>
          <w:b/>
        </w:rPr>
        <w:t>Bulharsko - SA. 44840 (2016/NN) a SA. 45861 (2016/N):</w:t>
      </w:r>
    </w:p>
    <w:p w14:paraId="485BA850" w14:textId="77777777" w:rsidR="00624A92" w:rsidRDefault="00624A92" w:rsidP="00624A92">
      <w:pPr>
        <w:pStyle w:val="Normlnweb"/>
        <w:spacing w:before="0" w:beforeAutospacing="0" w:after="0" w:afterAutospacing="0"/>
        <w:jc w:val="both"/>
      </w:pPr>
    </w:p>
    <w:p w14:paraId="7F54F0F5" w14:textId="77777777" w:rsidR="00624A92" w:rsidRPr="00C07DEA" w:rsidRDefault="00624A92" w:rsidP="00624A92">
      <w:pPr>
        <w:spacing w:after="0" w:line="240" w:lineRule="auto"/>
        <w:jc w:val="both"/>
        <w:rPr>
          <w:sz w:val="24"/>
          <w:szCs w:val="24"/>
          <w:u w:val="single"/>
        </w:rPr>
      </w:pPr>
      <w:r w:rsidRPr="00C07DEA">
        <w:rPr>
          <w:sz w:val="24"/>
          <w:szCs w:val="24"/>
          <w:u w:val="single"/>
        </w:rPr>
        <w:t xml:space="preserve">Vymezené období: </w:t>
      </w:r>
    </w:p>
    <w:p w14:paraId="78ACD66B" w14:textId="77777777" w:rsidR="00624A92" w:rsidRPr="00C07DEA" w:rsidRDefault="00624A92" w:rsidP="00624A92">
      <w:pPr>
        <w:spacing w:after="0" w:line="240" w:lineRule="auto"/>
        <w:jc w:val="both"/>
        <w:rPr>
          <w:sz w:val="24"/>
          <w:szCs w:val="24"/>
        </w:rPr>
      </w:pPr>
    </w:p>
    <w:p w14:paraId="19AACAF9" w14:textId="77777777" w:rsidR="00624A92" w:rsidRPr="00C07DEA" w:rsidRDefault="00624A92" w:rsidP="00624A92">
      <w:pPr>
        <w:spacing w:after="0" w:line="240" w:lineRule="auto"/>
        <w:jc w:val="both"/>
        <w:rPr>
          <w:sz w:val="24"/>
          <w:szCs w:val="24"/>
        </w:rPr>
      </w:pPr>
      <w:r w:rsidRPr="00C07DEA">
        <w:rPr>
          <w:sz w:val="24"/>
          <w:szCs w:val="24"/>
        </w:rPr>
        <w:t>SA. 44840 (2016/NN): 3.5.2011-31.12.2021, SA. 45861 (2016/N): 1.8.2015-31.12.2020</w:t>
      </w:r>
    </w:p>
    <w:p w14:paraId="48396EED" w14:textId="77777777" w:rsidR="00624A92" w:rsidRPr="00C07DEA" w:rsidRDefault="00624A92" w:rsidP="00624A92">
      <w:pPr>
        <w:pStyle w:val="Normlnweb"/>
        <w:spacing w:before="0" w:beforeAutospacing="0" w:after="0" w:afterAutospacing="0"/>
        <w:jc w:val="both"/>
        <w:rPr>
          <w:rFonts w:asciiTheme="minorHAnsi" w:hAnsiTheme="minorHAnsi"/>
        </w:rPr>
      </w:pPr>
    </w:p>
    <w:p w14:paraId="5E6143FA" w14:textId="77777777" w:rsidR="00624A92" w:rsidRPr="00C07DEA" w:rsidRDefault="00624A92" w:rsidP="00624A92">
      <w:pPr>
        <w:pStyle w:val="Normlnweb"/>
        <w:spacing w:before="0" w:beforeAutospacing="0" w:after="0" w:afterAutospacing="0"/>
        <w:jc w:val="both"/>
        <w:rPr>
          <w:rFonts w:asciiTheme="minorHAnsi" w:hAnsiTheme="minorHAnsi"/>
          <w:u w:val="single"/>
        </w:rPr>
      </w:pPr>
      <w:r w:rsidRPr="00C07DEA">
        <w:rPr>
          <w:rFonts w:asciiTheme="minorHAnsi" w:hAnsiTheme="minorHAnsi"/>
          <w:u w:val="single"/>
        </w:rPr>
        <w:t>Překompenzace:</w:t>
      </w:r>
    </w:p>
    <w:p w14:paraId="5479AB68" w14:textId="77777777" w:rsidR="00624A92" w:rsidRPr="00C07DEA" w:rsidRDefault="00624A92" w:rsidP="00624A92">
      <w:pPr>
        <w:pStyle w:val="Normlnweb"/>
        <w:spacing w:before="0" w:beforeAutospacing="0" w:after="0" w:afterAutospacing="0"/>
        <w:jc w:val="both"/>
        <w:rPr>
          <w:rFonts w:asciiTheme="minorHAnsi" w:hAnsiTheme="minorHAnsi"/>
        </w:rPr>
      </w:pPr>
    </w:p>
    <w:p w14:paraId="5AB18999" w14:textId="77777777" w:rsidR="00624A92" w:rsidRPr="00C07DEA" w:rsidRDefault="00624A92" w:rsidP="00624A92">
      <w:pPr>
        <w:spacing w:after="0" w:line="240" w:lineRule="auto"/>
        <w:jc w:val="both"/>
        <w:rPr>
          <w:i/>
          <w:sz w:val="24"/>
          <w:szCs w:val="24"/>
        </w:rPr>
      </w:pPr>
      <w:r w:rsidRPr="00C07DEA">
        <w:rPr>
          <w:i/>
          <w:sz w:val="24"/>
          <w:szCs w:val="24"/>
        </w:rPr>
        <w:t xml:space="preserve">(29) V případě, že investiční podpora nebyla zpočátku odečtena při stanovení výše podpory, preferenční výkupní cena byla snížena novelou ZEVI z 24. července 2015, aby bylo zajištěno, že pravidla kumulace jsou dodržována a riziko překompenzace je vyloučeno. </w:t>
      </w:r>
    </w:p>
    <w:p w14:paraId="67F8A419" w14:textId="77777777" w:rsidR="00624A92" w:rsidRPr="00C07DEA" w:rsidRDefault="00624A92" w:rsidP="00624A92">
      <w:pPr>
        <w:spacing w:after="0" w:line="240" w:lineRule="auto"/>
        <w:jc w:val="both"/>
        <w:rPr>
          <w:i/>
          <w:sz w:val="24"/>
          <w:szCs w:val="24"/>
        </w:rPr>
      </w:pPr>
    </w:p>
    <w:p w14:paraId="48BC340A" w14:textId="77777777" w:rsidR="00624A92" w:rsidRPr="00C07DEA" w:rsidRDefault="00624A92" w:rsidP="00624A92">
      <w:pPr>
        <w:spacing w:after="0" w:line="240" w:lineRule="auto"/>
        <w:jc w:val="both"/>
        <w:rPr>
          <w:i/>
          <w:sz w:val="24"/>
          <w:szCs w:val="24"/>
        </w:rPr>
      </w:pPr>
      <w:r w:rsidRPr="00C07DEA">
        <w:rPr>
          <w:i/>
          <w:sz w:val="24"/>
          <w:szCs w:val="24"/>
        </w:rPr>
        <w:t>(38) Dne 23. července 2014 Komise obdržela dopis od Regulační komise pro energii a vodu (DKEVR) prohlašující překompenzaci v případě výkupních cen udělených fotovoltaickým a větrných zařízením v rámci bulharského režimu podpory obnovitelných zdrojů. Stěžovatel také naznačuje, že bulharský režim podpory obnovitelných zdrojů představuje protiprávní opatření státní podpory.</w:t>
      </w:r>
    </w:p>
    <w:p w14:paraId="77253F1E" w14:textId="77777777" w:rsidR="00624A92" w:rsidRPr="00C07DEA" w:rsidRDefault="00624A92" w:rsidP="00624A92">
      <w:pPr>
        <w:spacing w:after="0" w:line="240" w:lineRule="auto"/>
        <w:jc w:val="both"/>
        <w:rPr>
          <w:i/>
          <w:sz w:val="24"/>
          <w:szCs w:val="24"/>
        </w:rPr>
      </w:pPr>
    </w:p>
    <w:p w14:paraId="6AF359C8" w14:textId="77777777" w:rsidR="00624A92" w:rsidRPr="00C07DEA" w:rsidRDefault="00624A92" w:rsidP="00624A92">
      <w:pPr>
        <w:pStyle w:val="Normlnweb"/>
        <w:spacing w:before="0" w:beforeAutospacing="0" w:after="0" w:afterAutospacing="0"/>
        <w:jc w:val="both"/>
        <w:rPr>
          <w:rFonts w:asciiTheme="minorHAnsi" w:hAnsiTheme="minorHAnsi"/>
          <w:i/>
        </w:rPr>
      </w:pPr>
      <w:r w:rsidRPr="00C07DEA">
        <w:rPr>
          <w:rFonts w:asciiTheme="minorHAnsi" w:hAnsiTheme="minorHAnsi"/>
          <w:i/>
        </w:rPr>
        <w:t xml:space="preserve">(43) Bulharské orgány nekomentovaly tvrzení o nezákonné povaze režimu podpory obnovitelných zdrojů. Pokud jde o nařčení z překompenzace, předložily podrobné výpočty výkupních cen schválených v období 2011 - 2014. </w:t>
      </w:r>
    </w:p>
    <w:p w14:paraId="14C83F7A" w14:textId="77777777" w:rsidR="00624A92" w:rsidRPr="00C07DEA" w:rsidRDefault="00624A92" w:rsidP="00624A92">
      <w:pPr>
        <w:pStyle w:val="Normlnweb"/>
        <w:spacing w:before="0" w:beforeAutospacing="0" w:after="0" w:afterAutospacing="0"/>
        <w:jc w:val="both"/>
        <w:rPr>
          <w:rFonts w:asciiTheme="minorHAnsi" w:hAnsiTheme="minorHAnsi"/>
          <w:u w:val="single"/>
        </w:rPr>
      </w:pPr>
    </w:p>
    <w:p w14:paraId="36EC8F79" w14:textId="77777777" w:rsidR="00624A92" w:rsidRPr="00C07DEA" w:rsidRDefault="00624A92" w:rsidP="00624A92">
      <w:pPr>
        <w:pStyle w:val="Normlnweb"/>
        <w:spacing w:before="0" w:beforeAutospacing="0" w:after="0" w:afterAutospacing="0"/>
        <w:jc w:val="both"/>
        <w:rPr>
          <w:rFonts w:asciiTheme="minorHAnsi" w:hAnsiTheme="minorHAnsi"/>
          <w:u w:val="single"/>
        </w:rPr>
      </w:pPr>
      <w:r w:rsidRPr="00C07DEA">
        <w:rPr>
          <w:rFonts w:asciiTheme="minorHAnsi" w:hAnsiTheme="minorHAnsi"/>
          <w:u w:val="single"/>
        </w:rPr>
        <w:t>Monitoring podpory:</w:t>
      </w:r>
    </w:p>
    <w:p w14:paraId="2C48E3DC" w14:textId="77777777" w:rsidR="00624A92" w:rsidRPr="00C07DEA" w:rsidRDefault="00624A92" w:rsidP="00624A92">
      <w:pPr>
        <w:pStyle w:val="Normlnweb"/>
        <w:spacing w:before="0" w:beforeAutospacing="0" w:after="0" w:afterAutospacing="0"/>
        <w:jc w:val="both"/>
        <w:rPr>
          <w:rFonts w:asciiTheme="minorHAnsi" w:hAnsiTheme="minorHAnsi"/>
        </w:rPr>
      </w:pPr>
    </w:p>
    <w:p w14:paraId="035A2CAB" w14:textId="77777777" w:rsidR="00624A92" w:rsidRPr="00C07DEA" w:rsidRDefault="00624A92" w:rsidP="00624A92">
      <w:pPr>
        <w:pStyle w:val="Normlnweb"/>
        <w:spacing w:before="0" w:beforeAutospacing="0" w:after="0" w:afterAutospacing="0"/>
        <w:jc w:val="both"/>
        <w:rPr>
          <w:rFonts w:asciiTheme="minorHAnsi" w:hAnsiTheme="minorHAnsi"/>
          <w:i/>
        </w:rPr>
      </w:pPr>
      <w:r w:rsidRPr="00C07DEA">
        <w:rPr>
          <w:rFonts w:asciiTheme="minorHAnsi" w:hAnsiTheme="minorHAnsi"/>
          <w:i/>
        </w:rPr>
        <w:t>V rozhodnutí není uvedeno.</w:t>
      </w:r>
    </w:p>
    <w:p w14:paraId="35704303" w14:textId="77777777" w:rsidR="00624A92" w:rsidRPr="00C07DEA" w:rsidRDefault="00624A92" w:rsidP="00624A92">
      <w:pPr>
        <w:pStyle w:val="Normlnweb"/>
        <w:spacing w:before="0" w:beforeAutospacing="0" w:after="0" w:afterAutospacing="0"/>
        <w:jc w:val="both"/>
        <w:rPr>
          <w:rFonts w:asciiTheme="minorHAnsi" w:hAnsiTheme="minorHAnsi"/>
        </w:rPr>
      </w:pPr>
    </w:p>
    <w:p w14:paraId="2EC787FB" w14:textId="77777777" w:rsidR="00624A92" w:rsidRPr="00C07DEA" w:rsidRDefault="00624A92" w:rsidP="00624A92">
      <w:pPr>
        <w:pStyle w:val="Normlnweb"/>
        <w:spacing w:before="0" w:beforeAutospacing="0" w:after="0" w:afterAutospacing="0"/>
        <w:jc w:val="both"/>
        <w:rPr>
          <w:rFonts w:asciiTheme="minorHAnsi" w:hAnsiTheme="minorHAnsi"/>
          <w:u w:val="single"/>
        </w:rPr>
      </w:pPr>
      <w:r w:rsidRPr="00C07DEA">
        <w:rPr>
          <w:rFonts w:asciiTheme="minorHAnsi" w:hAnsiTheme="minorHAnsi"/>
          <w:u w:val="single"/>
        </w:rPr>
        <w:t>Hodnoty IRR:</w:t>
      </w:r>
    </w:p>
    <w:p w14:paraId="37B8835F" w14:textId="77777777" w:rsidR="00624A92" w:rsidRPr="00C07DEA" w:rsidRDefault="00624A92" w:rsidP="00624A92">
      <w:pPr>
        <w:pStyle w:val="Normlnweb"/>
        <w:spacing w:before="0" w:beforeAutospacing="0" w:after="0" w:afterAutospacing="0"/>
        <w:jc w:val="both"/>
        <w:rPr>
          <w:rFonts w:asciiTheme="minorHAnsi" w:hAnsiTheme="minorHAnsi"/>
          <w:u w:val="single"/>
        </w:rPr>
      </w:pPr>
    </w:p>
    <w:p w14:paraId="3C94AF86" w14:textId="680336D5" w:rsidR="00624A92" w:rsidRPr="00C07DEA" w:rsidRDefault="00624A92" w:rsidP="00624A92">
      <w:pPr>
        <w:spacing w:line="240" w:lineRule="auto"/>
        <w:jc w:val="both"/>
        <w:rPr>
          <w:sz w:val="24"/>
          <w:szCs w:val="24"/>
        </w:rPr>
      </w:pPr>
      <w:r w:rsidRPr="00C07DEA">
        <w:rPr>
          <w:i/>
          <w:sz w:val="24"/>
          <w:szCs w:val="24"/>
        </w:rPr>
        <w:t xml:space="preserve">Uvedeny hodnoty IRR v  rozhodnutí </w:t>
      </w:r>
      <w:r w:rsidR="00BD4871" w:rsidRPr="00C07DEA">
        <w:rPr>
          <w:i/>
          <w:sz w:val="24"/>
          <w:szCs w:val="24"/>
        </w:rPr>
        <w:t xml:space="preserve">Evropské komise </w:t>
      </w:r>
      <w:r w:rsidRPr="00C07DEA">
        <w:rPr>
          <w:i/>
          <w:sz w:val="24"/>
          <w:szCs w:val="24"/>
        </w:rPr>
        <w:t>jsou ve výši 7 % - 9 %. Hodnota 9 % IRR přís</w:t>
      </w:r>
      <w:r w:rsidR="007F7648">
        <w:rPr>
          <w:i/>
          <w:sz w:val="24"/>
          <w:szCs w:val="24"/>
        </w:rPr>
        <w:t>l</w:t>
      </w:r>
      <w:r w:rsidRPr="00C07DEA">
        <w:rPr>
          <w:i/>
          <w:sz w:val="24"/>
          <w:szCs w:val="24"/>
        </w:rPr>
        <w:t xml:space="preserve">uší OZE  uvedených do provozu v roce </w:t>
      </w:r>
      <w:r w:rsidRPr="00C07DEA">
        <w:rPr>
          <w:sz w:val="24"/>
          <w:szCs w:val="24"/>
        </w:rPr>
        <w:t>2011. Hodnota 7 % IRR přísluší OZE uvedeným do provozu v období 2012 -2014.</w:t>
      </w:r>
    </w:p>
    <w:p w14:paraId="40AC195E" w14:textId="77777777" w:rsidR="00624A92" w:rsidRPr="00C07DEA" w:rsidRDefault="00624A92" w:rsidP="00624A92">
      <w:pPr>
        <w:pStyle w:val="Normlnweb"/>
        <w:spacing w:before="0" w:beforeAutospacing="0" w:after="0" w:afterAutospacing="0"/>
        <w:jc w:val="both"/>
        <w:rPr>
          <w:rFonts w:asciiTheme="minorHAnsi" w:hAnsiTheme="minorHAnsi"/>
          <w:u w:val="single"/>
        </w:rPr>
      </w:pPr>
      <w:r w:rsidRPr="00C07DEA">
        <w:rPr>
          <w:rFonts w:asciiTheme="minorHAnsi" w:hAnsiTheme="minorHAnsi"/>
          <w:u w:val="single"/>
        </w:rPr>
        <w:t>Kumulace podpor:</w:t>
      </w:r>
    </w:p>
    <w:p w14:paraId="2556043D" w14:textId="77777777" w:rsidR="00624A92" w:rsidRPr="00C07DEA" w:rsidRDefault="00624A92" w:rsidP="00624A92">
      <w:pPr>
        <w:pStyle w:val="Normlnweb"/>
        <w:spacing w:before="0" w:beforeAutospacing="0" w:after="0" w:afterAutospacing="0"/>
        <w:jc w:val="both"/>
        <w:rPr>
          <w:rFonts w:asciiTheme="minorHAnsi" w:hAnsiTheme="minorHAnsi"/>
        </w:rPr>
      </w:pPr>
    </w:p>
    <w:p w14:paraId="6FED70DF" w14:textId="77777777" w:rsidR="00624A92" w:rsidRPr="00C07DEA" w:rsidRDefault="00624A92" w:rsidP="00624A92">
      <w:pPr>
        <w:pStyle w:val="Normlnweb"/>
        <w:spacing w:before="0" w:beforeAutospacing="0" w:after="0" w:afterAutospacing="0"/>
        <w:jc w:val="both"/>
        <w:rPr>
          <w:rFonts w:asciiTheme="minorHAnsi" w:hAnsiTheme="minorHAnsi"/>
          <w:i/>
        </w:rPr>
      </w:pPr>
      <w:r w:rsidRPr="00C07DEA">
        <w:rPr>
          <w:rFonts w:asciiTheme="minorHAnsi" w:hAnsiTheme="minorHAnsi"/>
          <w:i/>
        </w:rPr>
        <w:t xml:space="preserve">(29) V případě, že investiční podpora nebyla zpočátku odečtena při stanovení výše podpory, preferenční výkupní cena byla snížena novelou ZEVI z 24. července 2015, aby bylo zajištěno, že pravidla kumulace jsou dodržována a riziko překompenzace je vyloučeno. </w:t>
      </w:r>
    </w:p>
    <w:p w14:paraId="03101D9E" w14:textId="77777777" w:rsidR="00624A92" w:rsidRPr="00C07DEA" w:rsidRDefault="00624A92" w:rsidP="00624A92">
      <w:pPr>
        <w:pStyle w:val="Normlnweb"/>
        <w:spacing w:before="0" w:beforeAutospacing="0" w:after="0" w:afterAutospacing="0"/>
        <w:jc w:val="both"/>
        <w:rPr>
          <w:rFonts w:asciiTheme="minorHAnsi" w:hAnsiTheme="minorHAnsi"/>
        </w:rPr>
      </w:pPr>
    </w:p>
    <w:p w14:paraId="0DBCF653" w14:textId="77777777" w:rsidR="00020069" w:rsidRPr="00C07DEA" w:rsidRDefault="00020069" w:rsidP="00624A92">
      <w:pPr>
        <w:pStyle w:val="Odstavecseseznamem"/>
        <w:spacing w:after="0"/>
        <w:ind w:left="0"/>
        <w:jc w:val="both"/>
        <w:rPr>
          <w:rFonts w:eastAsiaTheme="minorHAnsi"/>
          <w:i/>
          <w:sz w:val="24"/>
          <w:szCs w:val="24"/>
        </w:rPr>
      </w:pPr>
    </w:p>
    <w:p w14:paraId="4B6AA26E" w14:textId="77777777" w:rsidR="00624A92" w:rsidRPr="00D06AC6" w:rsidRDefault="00624A92" w:rsidP="00624A92">
      <w:pPr>
        <w:pStyle w:val="Odstavecseseznamem"/>
        <w:spacing w:after="0"/>
        <w:ind w:left="0"/>
        <w:jc w:val="both"/>
        <w:rPr>
          <w:b/>
          <w:sz w:val="24"/>
          <w:szCs w:val="24"/>
          <w:u w:val="single"/>
        </w:rPr>
      </w:pPr>
      <w:r w:rsidRPr="00D06AC6">
        <w:rPr>
          <w:b/>
          <w:sz w:val="24"/>
          <w:szCs w:val="24"/>
        </w:rPr>
        <w:t xml:space="preserve">2.     </w:t>
      </w:r>
      <w:r w:rsidRPr="00D06AC6">
        <w:rPr>
          <w:b/>
          <w:sz w:val="24"/>
          <w:szCs w:val="24"/>
          <w:u w:val="single"/>
        </w:rPr>
        <w:t>Estonsko -N373/2008:</w:t>
      </w:r>
    </w:p>
    <w:p w14:paraId="54E6430E" w14:textId="77777777" w:rsidR="00624A92" w:rsidRPr="00C07DEA" w:rsidRDefault="00624A92" w:rsidP="00624A92">
      <w:pPr>
        <w:pStyle w:val="Normlnweb"/>
        <w:spacing w:before="0" w:beforeAutospacing="0" w:after="0" w:afterAutospacing="0"/>
        <w:jc w:val="both"/>
        <w:rPr>
          <w:rFonts w:asciiTheme="minorHAnsi" w:hAnsiTheme="minorHAnsi"/>
        </w:rPr>
      </w:pPr>
    </w:p>
    <w:p w14:paraId="20A75BE9" w14:textId="77777777" w:rsidR="00624A92" w:rsidRPr="00C07DEA" w:rsidRDefault="00624A92" w:rsidP="00624A92">
      <w:pPr>
        <w:spacing w:after="0" w:line="240" w:lineRule="auto"/>
        <w:jc w:val="both"/>
        <w:rPr>
          <w:sz w:val="24"/>
          <w:szCs w:val="24"/>
          <w:u w:val="single"/>
        </w:rPr>
      </w:pPr>
      <w:r w:rsidRPr="00C07DEA">
        <w:rPr>
          <w:sz w:val="24"/>
          <w:szCs w:val="24"/>
          <w:u w:val="single"/>
        </w:rPr>
        <w:t xml:space="preserve">Vymezené období: </w:t>
      </w:r>
    </w:p>
    <w:p w14:paraId="4F7DBBBB" w14:textId="77777777" w:rsidR="00624A92" w:rsidRPr="00C07DEA" w:rsidRDefault="00624A92" w:rsidP="00624A92">
      <w:pPr>
        <w:pStyle w:val="Normlnweb"/>
        <w:spacing w:before="0" w:beforeAutospacing="0" w:after="0" w:afterAutospacing="0"/>
        <w:jc w:val="both"/>
        <w:rPr>
          <w:rFonts w:asciiTheme="minorHAnsi" w:hAnsiTheme="minorHAnsi"/>
        </w:rPr>
      </w:pPr>
    </w:p>
    <w:p w14:paraId="2597D6B8" w14:textId="77777777" w:rsidR="00624A92" w:rsidRPr="00C07DEA" w:rsidRDefault="00624A92" w:rsidP="00624A92">
      <w:pPr>
        <w:pStyle w:val="Normlnweb"/>
        <w:spacing w:before="0" w:beforeAutospacing="0" w:after="0" w:afterAutospacing="0"/>
        <w:jc w:val="both"/>
        <w:rPr>
          <w:rFonts w:asciiTheme="minorHAnsi" w:hAnsiTheme="minorHAnsi"/>
          <w:u w:val="single"/>
        </w:rPr>
      </w:pPr>
      <w:r w:rsidRPr="00C07DEA">
        <w:rPr>
          <w:rFonts w:asciiTheme="minorHAnsi" w:hAnsiTheme="minorHAnsi"/>
        </w:rPr>
        <w:t>N373/2008: 1.10.2008-31.12.2013</w:t>
      </w:r>
    </w:p>
    <w:p w14:paraId="4D1505E4" w14:textId="77777777" w:rsidR="00624A92" w:rsidRPr="00C07DEA" w:rsidRDefault="00624A92" w:rsidP="00624A92">
      <w:pPr>
        <w:pStyle w:val="Normlnweb"/>
        <w:spacing w:before="0" w:beforeAutospacing="0" w:after="0" w:afterAutospacing="0"/>
        <w:jc w:val="both"/>
        <w:rPr>
          <w:rFonts w:asciiTheme="minorHAnsi" w:hAnsiTheme="minorHAnsi"/>
          <w:u w:val="single"/>
        </w:rPr>
      </w:pPr>
    </w:p>
    <w:p w14:paraId="3E7A2AF6" w14:textId="77777777" w:rsidR="00624A92" w:rsidRPr="00C07DEA" w:rsidRDefault="00624A92" w:rsidP="00624A92">
      <w:pPr>
        <w:pStyle w:val="Normlnweb"/>
        <w:spacing w:before="0" w:beforeAutospacing="0" w:after="0" w:afterAutospacing="0"/>
        <w:jc w:val="both"/>
        <w:rPr>
          <w:rFonts w:asciiTheme="minorHAnsi" w:hAnsiTheme="minorHAnsi"/>
          <w:u w:val="single"/>
        </w:rPr>
      </w:pPr>
      <w:r w:rsidRPr="00C07DEA">
        <w:rPr>
          <w:rFonts w:asciiTheme="minorHAnsi" w:hAnsiTheme="minorHAnsi"/>
          <w:u w:val="single"/>
        </w:rPr>
        <w:t>Překompenzace, Monitoring podpory a Hodnoty IRR:</w:t>
      </w:r>
    </w:p>
    <w:p w14:paraId="6FCEF575" w14:textId="77777777" w:rsidR="00624A92" w:rsidRPr="00C07DEA" w:rsidRDefault="00624A92" w:rsidP="00624A92">
      <w:pPr>
        <w:pStyle w:val="Normlnweb"/>
        <w:spacing w:before="0" w:beforeAutospacing="0" w:after="0" w:afterAutospacing="0"/>
        <w:jc w:val="both"/>
        <w:rPr>
          <w:rFonts w:asciiTheme="minorHAnsi" w:hAnsiTheme="minorHAnsi"/>
          <w:u w:val="single"/>
        </w:rPr>
      </w:pPr>
    </w:p>
    <w:p w14:paraId="71AB7E64" w14:textId="77777777" w:rsidR="00624A92" w:rsidRPr="00C07DEA" w:rsidRDefault="00624A92" w:rsidP="00624A92">
      <w:pPr>
        <w:pStyle w:val="Normlnweb"/>
        <w:spacing w:before="0" w:beforeAutospacing="0" w:after="0" w:afterAutospacing="0"/>
        <w:jc w:val="both"/>
        <w:rPr>
          <w:rFonts w:asciiTheme="minorHAnsi" w:hAnsiTheme="minorHAnsi"/>
          <w:i/>
        </w:rPr>
      </w:pPr>
      <w:r w:rsidRPr="00C07DEA">
        <w:rPr>
          <w:rFonts w:asciiTheme="minorHAnsi" w:hAnsiTheme="minorHAnsi"/>
          <w:i/>
        </w:rPr>
        <w:t>V rozhodnutí není uvedeno.</w:t>
      </w:r>
    </w:p>
    <w:p w14:paraId="5B1CA9F4" w14:textId="77777777" w:rsidR="00624A92" w:rsidRPr="00C07DEA" w:rsidRDefault="00624A92" w:rsidP="00624A92">
      <w:pPr>
        <w:pStyle w:val="Normlnweb"/>
        <w:spacing w:before="0" w:beforeAutospacing="0" w:after="0" w:afterAutospacing="0"/>
        <w:jc w:val="both"/>
        <w:rPr>
          <w:rFonts w:asciiTheme="minorHAnsi" w:hAnsiTheme="minorHAnsi"/>
        </w:rPr>
      </w:pPr>
    </w:p>
    <w:p w14:paraId="1C4AE564" w14:textId="77777777" w:rsidR="00624A92" w:rsidRPr="00C07DEA" w:rsidRDefault="00624A92" w:rsidP="00624A92">
      <w:pPr>
        <w:pStyle w:val="Normlnweb"/>
        <w:spacing w:before="0" w:beforeAutospacing="0" w:after="0" w:afterAutospacing="0"/>
        <w:jc w:val="both"/>
        <w:rPr>
          <w:rFonts w:asciiTheme="minorHAnsi" w:hAnsiTheme="minorHAnsi"/>
          <w:u w:val="single"/>
        </w:rPr>
      </w:pPr>
      <w:r w:rsidRPr="00C07DEA">
        <w:rPr>
          <w:rFonts w:asciiTheme="minorHAnsi" w:hAnsiTheme="minorHAnsi"/>
          <w:u w:val="single"/>
        </w:rPr>
        <w:t>Kumulace podpor:</w:t>
      </w:r>
    </w:p>
    <w:p w14:paraId="004EEFCB" w14:textId="77777777" w:rsidR="00624A92" w:rsidRPr="00C07DEA" w:rsidRDefault="00624A92" w:rsidP="00624A92">
      <w:pPr>
        <w:pStyle w:val="Normlnweb"/>
        <w:spacing w:before="0" w:beforeAutospacing="0" w:after="0" w:afterAutospacing="0"/>
        <w:jc w:val="both"/>
        <w:rPr>
          <w:rFonts w:asciiTheme="minorHAnsi" w:hAnsiTheme="minorHAnsi"/>
        </w:rPr>
      </w:pPr>
    </w:p>
    <w:p w14:paraId="6F51F6A4" w14:textId="77777777" w:rsidR="00624A92" w:rsidRPr="00C07DEA" w:rsidRDefault="00624A92" w:rsidP="00624A92">
      <w:pPr>
        <w:spacing w:after="0" w:line="240" w:lineRule="auto"/>
        <w:jc w:val="both"/>
        <w:rPr>
          <w:i/>
          <w:sz w:val="24"/>
          <w:szCs w:val="24"/>
        </w:rPr>
      </w:pPr>
      <w:r w:rsidRPr="00C07DEA">
        <w:rPr>
          <w:i/>
          <w:sz w:val="24"/>
          <w:szCs w:val="24"/>
        </w:rPr>
        <w:t>(39) Podle notifikace lze podporu v rámci současného režimu kumulovat s podporou podle jiných opatření za stejné způsobilé výdaje projektu, pokud podpora pochází ze zdrojů místních, regionálních, národních zdrojů nebo ze zdrojů až do maximální míry podpory stanovených v režimu. Podpora v rámci režimu nebude kumulována s podporou de minimis, pokud jde o stejné způsobilé výdaje s cílem obejít maximální míru podpory stanovenou v rámci režimu.</w:t>
      </w:r>
    </w:p>
    <w:p w14:paraId="366FDEC0" w14:textId="77777777" w:rsidR="00624A92" w:rsidRPr="00C07DEA" w:rsidRDefault="00624A92" w:rsidP="00624A92">
      <w:pPr>
        <w:pStyle w:val="Normlnweb"/>
        <w:spacing w:before="0" w:beforeAutospacing="0" w:after="0" w:afterAutospacing="0"/>
        <w:jc w:val="both"/>
        <w:rPr>
          <w:rFonts w:asciiTheme="minorHAnsi" w:hAnsiTheme="minorHAnsi"/>
          <w:i/>
        </w:rPr>
      </w:pPr>
    </w:p>
    <w:p w14:paraId="7CC146A2" w14:textId="77777777" w:rsidR="00624A92" w:rsidRPr="00C07DEA" w:rsidRDefault="00624A92" w:rsidP="00624A92">
      <w:pPr>
        <w:pStyle w:val="Normlnweb"/>
        <w:spacing w:before="0" w:beforeAutospacing="0" w:after="0" w:afterAutospacing="0"/>
        <w:jc w:val="both"/>
        <w:rPr>
          <w:rFonts w:asciiTheme="minorHAnsi" w:hAnsiTheme="minorHAnsi"/>
          <w:i/>
        </w:rPr>
      </w:pPr>
      <w:r w:rsidRPr="00C07DEA">
        <w:rPr>
          <w:rFonts w:asciiTheme="minorHAnsi" w:hAnsiTheme="minorHAnsi"/>
          <w:i/>
        </w:rPr>
        <w:lastRenderedPageBreak/>
        <w:t>(70) Použitelné stropy regionální podpory jsou také respektovány v případě kumulace podpory v rámci režimu s podporou z jiných zdrojů v souladu s bodem 4.4 pokynů k regionální podpoře.</w:t>
      </w:r>
    </w:p>
    <w:p w14:paraId="649DEE7C" w14:textId="77777777" w:rsidR="00624A92" w:rsidRPr="00C07DEA" w:rsidRDefault="00624A92" w:rsidP="00624A92">
      <w:pPr>
        <w:pStyle w:val="Odstavecseseznamem"/>
        <w:spacing w:after="0"/>
        <w:ind w:left="0"/>
        <w:jc w:val="both"/>
        <w:rPr>
          <w:b/>
          <w:sz w:val="24"/>
          <w:szCs w:val="24"/>
          <w:highlight w:val="yellow"/>
        </w:rPr>
      </w:pPr>
    </w:p>
    <w:p w14:paraId="509DBA8F" w14:textId="77777777" w:rsidR="008E7B32" w:rsidRPr="00C07DEA" w:rsidRDefault="008E7B32" w:rsidP="00624A92">
      <w:pPr>
        <w:pStyle w:val="Odstavecseseznamem"/>
        <w:spacing w:after="0"/>
        <w:ind w:left="0"/>
        <w:jc w:val="both"/>
        <w:rPr>
          <w:b/>
          <w:sz w:val="24"/>
          <w:szCs w:val="24"/>
          <w:highlight w:val="yellow"/>
        </w:rPr>
      </w:pPr>
    </w:p>
    <w:p w14:paraId="19D30628" w14:textId="77777777" w:rsidR="00624A92" w:rsidRPr="00D06AC6" w:rsidRDefault="00624A92" w:rsidP="00624A92">
      <w:pPr>
        <w:pStyle w:val="Odstavecseseznamem"/>
        <w:spacing w:after="0"/>
        <w:ind w:left="0"/>
        <w:jc w:val="both"/>
        <w:rPr>
          <w:b/>
          <w:sz w:val="24"/>
          <w:szCs w:val="24"/>
          <w:u w:val="single"/>
        </w:rPr>
      </w:pPr>
      <w:r w:rsidRPr="00D06AC6">
        <w:rPr>
          <w:b/>
          <w:sz w:val="24"/>
          <w:szCs w:val="24"/>
        </w:rPr>
        <w:t xml:space="preserve">3.     </w:t>
      </w:r>
      <w:r w:rsidRPr="00D06AC6">
        <w:rPr>
          <w:b/>
          <w:sz w:val="24"/>
          <w:szCs w:val="24"/>
          <w:u w:val="single"/>
        </w:rPr>
        <w:t>Finsko – SA. 32470 (2011/N):</w:t>
      </w:r>
    </w:p>
    <w:p w14:paraId="4F9FF0B7" w14:textId="77777777" w:rsidR="00624A92" w:rsidRPr="00C07DEA" w:rsidRDefault="00624A92" w:rsidP="00624A92">
      <w:pPr>
        <w:pStyle w:val="Normlnweb"/>
        <w:spacing w:before="0" w:beforeAutospacing="0" w:after="0" w:afterAutospacing="0"/>
        <w:jc w:val="both"/>
        <w:rPr>
          <w:rFonts w:asciiTheme="minorHAnsi" w:hAnsiTheme="minorHAnsi"/>
        </w:rPr>
      </w:pPr>
    </w:p>
    <w:p w14:paraId="45E2818F" w14:textId="77777777" w:rsidR="00624A92" w:rsidRPr="00C07DEA" w:rsidRDefault="00624A92" w:rsidP="00624A92">
      <w:pPr>
        <w:spacing w:after="0" w:line="240" w:lineRule="auto"/>
        <w:jc w:val="both"/>
        <w:rPr>
          <w:sz w:val="24"/>
          <w:szCs w:val="24"/>
          <w:u w:val="single"/>
        </w:rPr>
      </w:pPr>
      <w:r w:rsidRPr="00C07DEA">
        <w:rPr>
          <w:sz w:val="24"/>
          <w:szCs w:val="24"/>
          <w:u w:val="single"/>
        </w:rPr>
        <w:t xml:space="preserve">Vymezené období: </w:t>
      </w:r>
    </w:p>
    <w:p w14:paraId="1D912610" w14:textId="77777777" w:rsidR="00624A92" w:rsidRPr="00C07DEA" w:rsidRDefault="00624A92" w:rsidP="00624A92">
      <w:pPr>
        <w:spacing w:after="0" w:line="240" w:lineRule="auto"/>
        <w:jc w:val="both"/>
        <w:rPr>
          <w:sz w:val="24"/>
          <w:szCs w:val="24"/>
        </w:rPr>
      </w:pPr>
    </w:p>
    <w:p w14:paraId="646E08DB" w14:textId="77777777" w:rsidR="00624A92" w:rsidRPr="00C07DEA" w:rsidRDefault="00624A92" w:rsidP="00624A92">
      <w:pPr>
        <w:spacing w:after="0" w:line="240" w:lineRule="auto"/>
        <w:jc w:val="both"/>
        <w:rPr>
          <w:sz w:val="24"/>
          <w:szCs w:val="24"/>
          <w:u w:val="single"/>
        </w:rPr>
      </w:pPr>
      <w:r w:rsidRPr="00C07DEA">
        <w:rPr>
          <w:sz w:val="24"/>
          <w:szCs w:val="24"/>
        </w:rPr>
        <w:t>32470 (2011/N):  1.2.2011-1.2.2016</w:t>
      </w:r>
    </w:p>
    <w:p w14:paraId="6C56999D" w14:textId="77777777" w:rsidR="00624A92" w:rsidRPr="00C07DEA" w:rsidRDefault="00624A92" w:rsidP="00624A92">
      <w:pPr>
        <w:pStyle w:val="Normlnweb"/>
        <w:spacing w:before="0" w:beforeAutospacing="0" w:after="0" w:afterAutospacing="0"/>
        <w:jc w:val="both"/>
        <w:rPr>
          <w:rFonts w:asciiTheme="minorHAnsi" w:hAnsiTheme="minorHAnsi"/>
          <w:u w:val="single"/>
        </w:rPr>
      </w:pPr>
    </w:p>
    <w:p w14:paraId="515016FE" w14:textId="77777777" w:rsidR="00624A92" w:rsidRPr="00C07DEA" w:rsidRDefault="00624A92" w:rsidP="00624A92">
      <w:pPr>
        <w:pStyle w:val="Normlnweb"/>
        <w:spacing w:before="0" w:beforeAutospacing="0" w:after="0" w:afterAutospacing="0"/>
        <w:jc w:val="both"/>
        <w:rPr>
          <w:rFonts w:asciiTheme="minorHAnsi" w:hAnsiTheme="minorHAnsi"/>
          <w:u w:val="single"/>
        </w:rPr>
      </w:pPr>
      <w:r w:rsidRPr="00C07DEA">
        <w:rPr>
          <w:rFonts w:asciiTheme="minorHAnsi" w:hAnsiTheme="minorHAnsi"/>
          <w:u w:val="single"/>
        </w:rPr>
        <w:t>Překompenzace:</w:t>
      </w:r>
    </w:p>
    <w:p w14:paraId="088EEAF7" w14:textId="77777777" w:rsidR="00624A92" w:rsidRPr="00C07DEA" w:rsidRDefault="00624A92" w:rsidP="00624A92">
      <w:pPr>
        <w:pStyle w:val="Normlnweb"/>
        <w:spacing w:before="0" w:beforeAutospacing="0" w:after="0" w:afterAutospacing="0"/>
        <w:jc w:val="both"/>
        <w:rPr>
          <w:rFonts w:asciiTheme="minorHAnsi" w:hAnsiTheme="minorHAnsi"/>
        </w:rPr>
      </w:pPr>
    </w:p>
    <w:p w14:paraId="6DD8AD4A" w14:textId="77777777" w:rsidR="00624A92" w:rsidRPr="00C07DEA" w:rsidRDefault="00624A92" w:rsidP="00624A92">
      <w:pPr>
        <w:spacing w:after="0" w:line="240" w:lineRule="auto"/>
        <w:jc w:val="both"/>
        <w:rPr>
          <w:i/>
          <w:sz w:val="24"/>
          <w:szCs w:val="24"/>
        </w:rPr>
      </w:pPr>
      <w:r w:rsidRPr="00C07DEA">
        <w:rPr>
          <w:i/>
          <w:sz w:val="24"/>
          <w:szCs w:val="24"/>
        </w:rPr>
        <w:t>(37) Finské orgány budou sledovat výrobní náklady a tržní ceny pohonných hmot na ročním základě a přizpůsobí podporu v případě nutnosti s cílem vyloučit překompenzaci. Finské orgány potvrzují, že budou brány v úvahu úpravy hodnot daňové zátěže při výpočtu výše podpory.</w:t>
      </w:r>
    </w:p>
    <w:p w14:paraId="2C7CEC7D" w14:textId="77777777" w:rsidR="00624A92" w:rsidRPr="00C07DEA" w:rsidRDefault="00624A92" w:rsidP="00624A92">
      <w:pPr>
        <w:spacing w:after="0" w:line="240" w:lineRule="auto"/>
        <w:jc w:val="both"/>
        <w:rPr>
          <w:i/>
          <w:sz w:val="24"/>
          <w:szCs w:val="24"/>
        </w:rPr>
      </w:pPr>
    </w:p>
    <w:p w14:paraId="4F8953F2" w14:textId="77777777" w:rsidR="00624A92" w:rsidRPr="00C07DEA" w:rsidRDefault="00624A92" w:rsidP="00624A92">
      <w:pPr>
        <w:spacing w:after="0" w:line="240" w:lineRule="auto"/>
        <w:jc w:val="both"/>
        <w:rPr>
          <w:i/>
          <w:sz w:val="24"/>
          <w:szCs w:val="24"/>
        </w:rPr>
      </w:pPr>
      <w:r w:rsidRPr="00C07DEA">
        <w:rPr>
          <w:i/>
          <w:sz w:val="24"/>
          <w:szCs w:val="24"/>
        </w:rPr>
        <w:t>(38) Finské orgány přizpůsobí podporu pro elektrárny spalující lesní štěpku, pokud to bude nutné, aby se vyloučila překompenzace.</w:t>
      </w:r>
    </w:p>
    <w:p w14:paraId="62665144" w14:textId="77777777" w:rsidR="00624A92" w:rsidRPr="00C07DEA" w:rsidRDefault="00624A92" w:rsidP="00624A92">
      <w:pPr>
        <w:spacing w:after="0" w:line="240" w:lineRule="auto"/>
        <w:jc w:val="both"/>
        <w:rPr>
          <w:i/>
          <w:sz w:val="24"/>
          <w:szCs w:val="24"/>
        </w:rPr>
      </w:pPr>
    </w:p>
    <w:p w14:paraId="0A487C31" w14:textId="77777777" w:rsidR="00624A92" w:rsidRPr="00C07DEA" w:rsidRDefault="00624A92" w:rsidP="00624A92">
      <w:pPr>
        <w:spacing w:after="0" w:line="240" w:lineRule="auto"/>
        <w:jc w:val="both"/>
        <w:rPr>
          <w:i/>
          <w:sz w:val="24"/>
          <w:szCs w:val="24"/>
        </w:rPr>
      </w:pPr>
      <w:r w:rsidRPr="00C07DEA">
        <w:rPr>
          <w:i/>
          <w:sz w:val="24"/>
          <w:szCs w:val="24"/>
        </w:rPr>
        <w:t>(39) Kromě toho finské orgány výslovně potvrdí, že úroveň podpory bude upravena, pokud to bude nutné, aby se vyloučila překompenzace s ohledem na maximální intenzitu podpory ve výši 50 % pro bioplyn, větrnou energií a vodní elektrárny.</w:t>
      </w:r>
    </w:p>
    <w:p w14:paraId="19D11927" w14:textId="77777777" w:rsidR="00624A92" w:rsidRPr="00C07DEA" w:rsidRDefault="00624A92" w:rsidP="00624A92">
      <w:pPr>
        <w:spacing w:after="0" w:line="240" w:lineRule="auto"/>
        <w:jc w:val="both"/>
        <w:rPr>
          <w:i/>
          <w:sz w:val="24"/>
          <w:szCs w:val="24"/>
        </w:rPr>
      </w:pPr>
    </w:p>
    <w:p w14:paraId="05BEAD3C" w14:textId="77777777" w:rsidR="00624A92" w:rsidRPr="00C07DEA" w:rsidRDefault="00624A92" w:rsidP="00624A92">
      <w:pPr>
        <w:spacing w:after="0" w:line="240" w:lineRule="auto"/>
        <w:jc w:val="both"/>
        <w:rPr>
          <w:i/>
          <w:sz w:val="24"/>
          <w:szCs w:val="24"/>
        </w:rPr>
      </w:pPr>
      <w:r w:rsidRPr="00C07DEA">
        <w:rPr>
          <w:i/>
          <w:sz w:val="24"/>
          <w:szCs w:val="24"/>
        </w:rPr>
        <w:t>(54) Finské orgány potvrdily, že podpora je poskytována po omezenou dobu pěti let. Finské orgány potvrdily, že výše podpory bude upravena tak, aby se vyloučila překompenzace.</w:t>
      </w:r>
    </w:p>
    <w:p w14:paraId="7F0895E2" w14:textId="77777777" w:rsidR="00624A92" w:rsidRPr="00C07DEA" w:rsidRDefault="00624A92" w:rsidP="00624A92">
      <w:pPr>
        <w:spacing w:after="0" w:line="240" w:lineRule="auto"/>
        <w:jc w:val="both"/>
        <w:rPr>
          <w:i/>
          <w:sz w:val="24"/>
          <w:szCs w:val="24"/>
        </w:rPr>
      </w:pPr>
    </w:p>
    <w:p w14:paraId="076AFD0F" w14:textId="77777777" w:rsidR="00624A92" w:rsidRPr="00C07DEA" w:rsidRDefault="00624A92" w:rsidP="00624A92">
      <w:pPr>
        <w:spacing w:after="0" w:line="240" w:lineRule="auto"/>
        <w:jc w:val="both"/>
        <w:rPr>
          <w:i/>
          <w:sz w:val="24"/>
          <w:szCs w:val="24"/>
        </w:rPr>
      </w:pPr>
      <w:r w:rsidRPr="00C07DEA">
        <w:rPr>
          <w:i/>
          <w:sz w:val="24"/>
          <w:szCs w:val="24"/>
        </w:rPr>
        <w:t>(62). Aby se zabránilo překompenzaci, finské orgány potvrdily, že budou sledovat výrobní náklady a tržní ceny pohonných hmot na ročním základě a přizpůsobovat podporu v případě nutnosti, aby se vyloučila překompenzace. Kromě toho finské orgány potvrdily, že budou vzaty v úvahu úpravy hodnot daňové zátěže při výpočtu výše podpory.</w:t>
      </w:r>
    </w:p>
    <w:p w14:paraId="2E7AE8F7" w14:textId="77777777" w:rsidR="00624A92" w:rsidRPr="00C07DEA" w:rsidRDefault="00624A92" w:rsidP="00624A92">
      <w:pPr>
        <w:pStyle w:val="Normlnweb"/>
        <w:spacing w:before="0" w:beforeAutospacing="0" w:after="0" w:afterAutospacing="0"/>
        <w:jc w:val="both"/>
        <w:rPr>
          <w:rFonts w:asciiTheme="minorHAnsi" w:hAnsiTheme="minorHAnsi"/>
          <w:i/>
        </w:rPr>
      </w:pPr>
    </w:p>
    <w:p w14:paraId="3C480E44" w14:textId="77777777" w:rsidR="00624A92" w:rsidRPr="00C07DEA" w:rsidRDefault="00624A92" w:rsidP="00624A92">
      <w:pPr>
        <w:pStyle w:val="Normlnweb"/>
        <w:spacing w:before="0" w:beforeAutospacing="0" w:after="0" w:afterAutospacing="0"/>
        <w:jc w:val="both"/>
        <w:rPr>
          <w:rFonts w:asciiTheme="minorHAnsi" w:hAnsiTheme="minorHAnsi"/>
          <w:i/>
        </w:rPr>
      </w:pPr>
      <w:r w:rsidRPr="00C07DEA">
        <w:rPr>
          <w:rFonts w:asciiTheme="minorHAnsi" w:hAnsiTheme="minorHAnsi"/>
          <w:i/>
        </w:rPr>
        <w:t>(68) V důsledku toho i na základě potvrzení o chybějící překompenzaci Komise dospěla k závěru, že oznámený režim je v souladu s pokyny na ochranu životního prostředí a je proto slučitelný se společným trhem v souladu s článkem 107 (3) (c) SFEU.</w:t>
      </w:r>
    </w:p>
    <w:p w14:paraId="33582BEF" w14:textId="77777777" w:rsidR="00624A92" w:rsidRPr="00C07DEA" w:rsidRDefault="00624A92" w:rsidP="00624A92">
      <w:pPr>
        <w:pStyle w:val="Normlnweb"/>
        <w:spacing w:before="0" w:beforeAutospacing="0" w:after="0" w:afterAutospacing="0"/>
        <w:jc w:val="both"/>
        <w:rPr>
          <w:rFonts w:asciiTheme="minorHAnsi" w:hAnsiTheme="minorHAnsi"/>
          <w:u w:val="single"/>
        </w:rPr>
      </w:pPr>
    </w:p>
    <w:p w14:paraId="589A3282" w14:textId="77777777" w:rsidR="00624A92" w:rsidRPr="00C07DEA" w:rsidRDefault="00624A92" w:rsidP="00624A92">
      <w:pPr>
        <w:pStyle w:val="Normlnweb"/>
        <w:spacing w:before="0" w:beforeAutospacing="0" w:after="0" w:afterAutospacing="0"/>
        <w:jc w:val="both"/>
        <w:rPr>
          <w:rFonts w:asciiTheme="minorHAnsi" w:hAnsiTheme="minorHAnsi"/>
          <w:u w:val="single"/>
        </w:rPr>
      </w:pPr>
      <w:r w:rsidRPr="00C07DEA">
        <w:rPr>
          <w:rFonts w:asciiTheme="minorHAnsi" w:hAnsiTheme="minorHAnsi"/>
          <w:u w:val="single"/>
        </w:rPr>
        <w:t>Monitoring podpory:</w:t>
      </w:r>
    </w:p>
    <w:p w14:paraId="2E909865" w14:textId="77777777" w:rsidR="00624A92" w:rsidRPr="00C07DEA" w:rsidRDefault="00624A92" w:rsidP="00624A92">
      <w:pPr>
        <w:pStyle w:val="Normlnweb"/>
        <w:spacing w:before="0" w:beforeAutospacing="0" w:after="0" w:afterAutospacing="0"/>
        <w:jc w:val="both"/>
        <w:rPr>
          <w:rFonts w:asciiTheme="minorHAnsi" w:hAnsiTheme="minorHAnsi"/>
        </w:rPr>
      </w:pPr>
    </w:p>
    <w:p w14:paraId="7C331522" w14:textId="77777777" w:rsidR="00624A92" w:rsidRPr="00C07DEA" w:rsidRDefault="00624A92" w:rsidP="00624A92">
      <w:pPr>
        <w:spacing w:after="0" w:line="240" w:lineRule="auto"/>
        <w:jc w:val="both"/>
        <w:rPr>
          <w:i/>
          <w:sz w:val="24"/>
          <w:szCs w:val="24"/>
        </w:rPr>
      </w:pPr>
      <w:r w:rsidRPr="00C07DEA">
        <w:rPr>
          <w:i/>
          <w:sz w:val="24"/>
          <w:szCs w:val="24"/>
        </w:rPr>
        <w:t>(11) Ministerstvo práce a hospodářství bude zodpovědné za obecné vedení, sledování a rozvoj systému podpory.</w:t>
      </w:r>
    </w:p>
    <w:p w14:paraId="4EBEAD44" w14:textId="77777777" w:rsidR="00624A92" w:rsidRPr="00C07DEA" w:rsidRDefault="00624A92" w:rsidP="00624A92">
      <w:pPr>
        <w:spacing w:after="0" w:line="240" w:lineRule="auto"/>
        <w:jc w:val="both"/>
        <w:rPr>
          <w:i/>
          <w:sz w:val="24"/>
          <w:szCs w:val="24"/>
        </w:rPr>
      </w:pPr>
    </w:p>
    <w:p w14:paraId="0409E38C" w14:textId="77777777" w:rsidR="00624A92" w:rsidRPr="00C07DEA" w:rsidRDefault="00624A92" w:rsidP="00624A92">
      <w:pPr>
        <w:spacing w:after="0" w:line="240" w:lineRule="auto"/>
        <w:jc w:val="both"/>
        <w:rPr>
          <w:i/>
          <w:sz w:val="24"/>
          <w:szCs w:val="24"/>
        </w:rPr>
      </w:pPr>
      <w:r w:rsidRPr="00C07DEA">
        <w:rPr>
          <w:i/>
          <w:sz w:val="24"/>
          <w:szCs w:val="24"/>
        </w:rPr>
        <w:t>(37) Finské orgány budou sledovat výrobní náklady a tržní ceny pohonných hmot na ročním základě a přizpůsobí podporu v případě nutnosti s cílem vyloučit překompenzaci. Finské orgány potvrzují, že budou brány v úvahu úpravy hodnot daňové zátěže při výpočtu výše podpory.</w:t>
      </w:r>
    </w:p>
    <w:p w14:paraId="0A6B1D2C" w14:textId="77777777" w:rsidR="00624A92" w:rsidRPr="00C07DEA" w:rsidRDefault="00624A92" w:rsidP="00624A92">
      <w:pPr>
        <w:spacing w:after="0" w:line="240" w:lineRule="auto"/>
        <w:jc w:val="both"/>
        <w:rPr>
          <w:i/>
          <w:sz w:val="24"/>
          <w:szCs w:val="24"/>
        </w:rPr>
      </w:pPr>
    </w:p>
    <w:p w14:paraId="4A4AD403" w14:textId="77777777" w:rsidR="00624A92" w:rsidRPr="00C07DEA" w:rsidRDefault="00624A92" w:rsidP="00624A92">
      <w:pPr>
        <w:spacing w:after="0" w:line="240" w:lineRule="auto"/>
        <w:jc w:val="both"/>
        <w:rPr>
          <w:i/>
          <w:sz w:val="24"/>
          <w:szCs w:val="24"/>
        </w:rPr>
      </w:pPr>
      <w:r w:rsidRPr="00C07DEA">
        <w:rPr>
          <w:i/>
          <w:sz w:val="24"/>
          <w:szCs w:val="24"/>
        </w:rPr>
        <w:lastRenderedPageBreak/>
        <w:t>(40) Finské orgány potvrzují, že budou souhlasit s roční ohlašovací povinností a monitorováním, jak je stanoveno v oddílech 7.1 a 7.3 Pokynů k podpoře na ochranu životního prostředí.</w:t>
      </w:r>
    </w:p>
    <w:p w14:paraId="33B44551" w14:textId="77777777" w:rsidR="00624A92" w:rsidRPr="00C07DEA" w:rsidRDefault="00624A92" w:rsidP="00624A92">
      <w:pPr>
        <w:spacing w:after="0" w:line="240" w:lineRule="auto"/>
        <w:jc w:val="both"/>
        <w:rPr>
          <w:i/>
          <w:sz w:val="24"/>
          <w:szCs w:val="24"/>
        </w:rPr>
      </w:pPr>
    </w:p>
    <w:p w14:paraId="25D4002E" w14:textId="77777777" w:rsidR="00624A92" w:rsidRPr="00C07DEA" w:rsidRDefault="00624A92" w:rsidP="00624A92">
      <w:pPr>
        <w:spacing w:after="0" w:line="240" w:lineRule="auto"/>
        <w:jc w:val="both"/>
        <w:rPr>
          <w:i/>
          <w:sz w:val="24"/>
          <w:szCs w:val="24"/>
        </w:rPr>
      </w:pPr>
      <w:r w:rsidRPr="00C07DEA">
        <w:rPr>
          <w:i/>
          <w:sz w:val="24"/>
          <w:szCs w:val="24"/>
        </w:rPr>
        <w:t>(53) Co se týče dodržování intenzity podpory, finské orgány potvrdily, že monitorování výrobních nákladů a tržních cen pohonných hmot bude provedeno minimálně jednou ročně.</w:t>
      </w:r>
    </w:p>
    <w:p w14:paraId="5117B0B0" w14:textId="77777777" w:rsidR="00624A92" w:rsidRPr="00C07DEA" w:rsidRDefault="00624A92" w:rsidP="00624A92">
      <w:pPr>
        <w:spacing w:after="0" w:line="240" w:lineRule="auto"/>
        <w:jc w:val="both"/>
        <w:rPr>
          <w:i/>
          <w:sz w:val="24"/>
          <w:szCs w:val="24"/>
        </w:rPr>
      </w:pPr>
    </w:p>
    <w:p w14:paraId="14E230D3" w14:textId="77777777" w:rsidR="00624A92" w:rsidRPr="00C07DEA" w:rsidRDefault="00624A92" w:rsidP="00624A92">
      <w:pPr>
        <w:spacing w:after="0" w:line="240" w:lineRule="auto"/>
        <w:jc w:val="both"/>
        <w:rPr>
          <w:i/>
          <w:sz w:val="24"/>
          <w:szCs w:val="24"/>
        </w:rPr>
      </w:pPr>
      <w:r w:rsidRPr="00C07DEA">
        <w:rPr>
          <w:i/>
          <w:sz w:val="24"/>
          <w:szCs w:val="24"/>
        </w:rPr>
        <w:t>(62) Aby se zabránilo překompenzaci, finské orgány potvrdily, že budou monitorovat výrobní náklady a tržní ceny pohonných hmot na ročním základě a přizpůsobovat podporu v případě nutnosti, aby se vyloučila překompenzace. Kromě toho finské orgány potvrdily, že budou vzaty v úvahu úpravy hodnot daňové zátěže při výpočtu výše podpory.</w:t>
      </w:r>
    </w:p>
    <w:p w14:paraId="4477BCCF" w14:textId="77777777" w:rsidR="00624A92" w:rsidRPr="00C07DEA" w:rsidRDefault="00624A92" w:rsidP="00624A92">
      <w:pPr>
        <w:pStyle w:val="Normlnweb"/>
        <w:spacing w:before="0" w:beforeAutospacing="0" w:after="0" w:afterAutospacing="0"/>
        <w:jc w:val="both"/>
        <w:rPr>
          <w:rFonts w:asciiTheme="minorHAnsi" w:hAnsiTheme="minorHAnsi"/>
          <w:i/>
        </w:rPr>
      </w:pPr>
    </w:p>
    <w:p w14:paraId="409326D8" w14:textId="77777777" w:rsidR="00624A92" w:rsidRPr="00C07DEA" w:rsidRDefault="00624A92" w:rsidP="00624A92">
      <w:pPr>
        <w:pStyle w:val="Normlnweb"/>
        <w:spacing w:before="0" w:beforeAutospacing="0" w:after="0" w:afterAutospacing="0"/>
        <w:jc w:val="both"/>
        <w:rPr>
          <w:rFonts w:asciiTheme="minorHAnsi" w:hAnsiTheme="minorHAnsi"/>
          <w:i/>
        </w:rPr>
      </w:pPr>
      <w:r w:rsidRPr="00C07DEA">
        <w:rPr>
          <w:rFonts w:asciiTheme="minorHAnsi" w:hAnsiTheme="minorHAnsi"/>
          <w:i/>
        </w:rPr>
        <w:t>(65) Finské orgány také potvrdily, že v případě, že výsledný výkon ze zařízení pro výrobu elektřiny z obnovitelných zdrojů překročí 125 MW, bude podpora oznámena samostatně Komisi. Dále se finské orgány zavázaly k dodržování výročních zpráv a ustanovení o monitorování dle Pokynů pro ochranu životního prostředí, jak je stanoveno v oddílech 7.1 a 7.3.</w:t>
      </w:r>
    </w:p>
    <w:p w14:paraId="6845F78B" w14:textId="77777777" w:rsidR="00624A92" w:rsidRPr="00C07DEA" w:rsidRDefault="00624A92" w:rsidP="00624A92">
      <w:pPr>
        <w:pStyle w:val="Normlnweb"/>
        <w:spacing w:before="0" w:beforeAutospacing="0" w:after="0" w:afterAutospacing="0"/>
        <w:jc w:val="both"/>
        <w:rPr>
          <w:rFonts w:asciiTheme="minorHAnsi" w:hAnsiTheme="minorHAnsi"/>
          <w:i/>
          <w:u w:val="single"/>
        </w:rPr>
      </w:pPr>
    </w:p>
    <w:p w14:paraId="5F368FD9" w14:textId="77777777" w:rsidR="00624A92" w:rsidRPr="00C07DEA" w:rsidRDefault="00624A92" w:rsidP="00624A92">
      <w:pPr>
        <w:pStyle w:val="Normlnweb"/>
        <w:spacing w:before="0" w:beforeAutospacing="0" w:after="0" w:afterAutospacing="0"/>
        <w:jc w:val="both"/>
        <w:rPr>
          <w:rFonts w:asciiTheme="minorHAnsi" w:hAnsiTheme="minorHAnsi"/>
          <w:u w:val="single"/>
        </w:rPr>
      </w:pPr>
      <w:r w:rsidRPr="00C07DEA">
        <w:rPr>
          <w:rFonts w:asciiTheme="minorHAnsi" w:hAnsiTheme="minorHAnsi"/>
          <w:u w:val="single"/>
        </w:rPr>
        <w:t>Hodnoty IRR:</w:t>
      </w:r>
    </w:p>
    <w:p w14:paraId="4B395771" w14:textId="77777777" w:rsidR="00624A92" w:rsidRPr="00C07DEA" w:rsidRDefault="00624A92" w:rsidP="00624A92">
      <w:pPr>
        <w:pStyle w:val="Normlnweb"/>
        <w:spacing w:before="0" w:beforeAutospacing="0" w:after="0" w:afterAutospacing="0"/>
        <w:jc w:val="both"/>
        <w:rPr>
          <w:rFonts w:asciiTheme="minorHAnsi" w:hAnsiTheme="minorHAnsi"/>
          <w:u w:val="single"/>
        </w:rPr>
      </w:pPr>
    </w:p>
    <w:p w14:paraId="71DC5B32" w14:textId="5B71E3D6" w:rsidR="00624A92" w:rsidRPr="00C07DEA" w:rsidRDefault="00624A92" w:rsidP="00624A92">
      <w:pPr>
        <w:pStyle w:val="Normlnweb"/>
        <w:spacing w:before="0" w:beforeAutospacing="0" w:after="0" w:afterAutospacing="0"/>
        <w:jc w:val="both"/>
        <w:rPr>
          <w:rFonts w:asciiTheme="minorHAnsi" w:hAnsiTheme="minorHAnsi"/>
          <w:i/>
        </w:rPr>
      </w:pPr>
      <w:r w:rsidRPr="00C07DEA">
        <w:rPr>
          <w:rFonts w:asciiTheme="minorHAnsi" w:hAnsiTheme="minorHAnsi"/>
          <w:i/>
        </w:rPr>
        <w:t xml:space="preserve">Uvedeny hodnoty IRR v  rozhodnutí </w:t>
      </w:r>
      <w:r w:rsidR="00BD4871" w:rsidRPr="00C07DEA">
        <w:rPr>
          <w:rFonts w:asciiTheme="minorHAnsi" w:hAnsiTheme="minorHAnsi"/>
          <w:i/>
        </w:rPr>
        <w:t xml:space="preserve">Evropské komise </w:t>
      </w:r>
      <w:r w:rsidRPr="00C07DEA">
        <w:rPr>
          <w:rFonts w:asciiTheme="minorHAnsi" w:hAnsiTheme="minorHAnsi"/>
          <w:i/>
        </w:rPr>
        <w:t xml:space="preserve">jsou ve výši 6,5 % - 8,5 %. Hodnota 6,5 % IRR přísluší bioplynu a MVE a hodnota 8,5 % přísluší větrným elektrárnám. </w:t>
      </w:r>
    </w:p>
    <w:p w14:paraId="2DA38281" w14:textId="77777777" w:rsidR="00624A92" w:rsidRPr="00C07DEA" w:rsidRDefault="00624A92" w:rsidP="00624A92">
      <w:pPr>
        <w:pStyle w:val="Normlnweb"/>
        <w:spacing w:before="0" w:beforeAutospacing="0" w:after="0" w:afterAutospacing="0"/>
        <w:jc w:val="both"/>
        <w:rPr>
          <w:rFonts w:asciiTheme="minorHAnsi" w:hAnsiTheme="minorHAnsi"/>
        </w:rPr>
      </w:pPr>
    </w:p>
    <w:p w14:paraId="74D253B8" w14:textId="79B7AF40" w:rsidR="00624A92" w:rsidRPr="00C07DEA" w:rsidRDefault="007F7648" w:rsidP="00624A92">
      <w:pPr>
        <w:pStyle w:val="Normlnweb"/>
        <w:spacing w:before="0" w:beforeAutospacing="0" w:after="0" w:afterAutospacing="0"/>
        <w:jc w:val="both"/>
        <w:rPr>
          <w:rFonts w:asciiTheme="minorHAnsi" w:hAnsiTheme="minorHAnsi"/>
          <w:u w:val="single"/>
        </w:rPr>
      </w:pPr>
      <w:r w:rsidRPr="00C07DEA">
        <w:rPr>
          <w:rFonts w:asciiTheme="minorHAnsi" w:hAnsiTheme="minorHAnsi"/>
          <w:u w:val="single"/>
        </w:rPr>
        <w:t>K</w:t>
      </w:r>
      <w:r>
        <w:rPr>
          <w:rFonts w:asciiTheme="minorHAnsi" w:hAnsiTheme="minorHAnsi"/>
          <w:u w:val="single"/>
        </w:rPr>
        <w:t>u</w:t>
      </w:r>
      <w:r w:rsidRPr="00C07DEA">
        <w:rPr>
          <w:rFonts w:asciiTheme="minorHAnsi" w:hAnsiTheme="minorHAnsi"/>
          <w:u w:val="single"/>
        </w:rPr>
        <w:t xml:space="preserve">mulace </w:t>
      </w:r>
      <w:r w:rsidR="00624A92" w:rsidRPr="00C07DEA">
        <w:rPr>
          <w:rFonts w:asciiTheme="minorHAnsi" w:hAnsiTheme="minorHAnsi"/>
          <w:u w:val="single"/>
        </w:rPr>
        <w:t>podpor:</w:t>
      </w:r>
    </w:p>
    <w:p w14:paraId="43E2B746" w14:textId="77777777" w:rsidR="00624A92" w:rsidRPr="00C07DEA" w:rsidRDefault="00624A92" w:rsidP="00624A92">
      <w:pPr>
        <w:pStyle w:val="Normlnweb"/>
        <w:spacing w:before="0" w:beforeAutospacing="0" w:after="0" w:afterAutospacing="0"/>
        <w:jc w:val="both"/>
        <w:rPr>
          <w:rFonts w:asciiTheme="minorHAnsi" w:hAnsiTheme="minorHAnsi"/>
        </w:rPr>
      </w:pPr>
    </w:p>
    <w:p w14:paraId="6B9DD4F7" w14:textId="77777777" w:rsidR="00624A92" w:rsidRPr="00C07DEA" w:rsidRDefault="00624A92" w:rsidP="00624A92">
      <w:pPr>
        <w:spacing w:after="0" w:line="240" w:lineRule="auto"/>
        <w:jc w:val="both"/>
        <w:rPr>
          <w:i/>
          <w:sz w:val="24"/>
          <w:szCs w:val="24"/>
        </w:rPr>
      </w:pPr>
      <w:r w:rsidRPr="00C07DEA">
        <w:rPr>
          <w:i/>
          <w:sz w:val="24"/>
          <w:szCs w:val="24"/>
        </w:rPr>
        <w:t>(36) Podpora, která má být poskytnuta v rámci oznámeného opatření, nemůže být kumulována s jinou provozní podporou pro stejné způsobilé náklady. Zařízení způsobilé pro provozní podpory na základě oznámeného režimu může být rovněž způsobilé pro investiční podporu. V tomto ohledu finské orgány potvrdily, že kombinovaný účinek těchto dvou režimů podpor bude brát v úvahu nastavení množství investiční podpory poskytnuté elektrárnám dostávajícím provozní podporu.</w:t>
      </w:r>
    </w:p>
    <w:p w14:paraId="2DB4BE3A" w14:textId="77777777" w:rsidR="00A118DD" w:rsidRPr="00D06AC6" w:rsidRDefault="00A118DD" w:rsidP="00624A92">
      <w:pPr>
        <w:pStyle w:val="Normlnweb"/>
        <w:spacing w:before="0" w:beforeAutospacing="0" w:after="0" w:afterAutospacing="0"/>
        <w:jc w:val="both"/>
        <w:rPr>
          <w:rFonts w:asciiTheme="minorHAnsi" w:hAnsiTheme="minorHAnsi"/>
        </w:rPr>
      </w:pPr>
    </w:p>
    <w:p w14:paraId="3E2845FD" w14:textId="77777777" w:rsidR="00624A92" w:rsidRPr="00D06AC6" w:rsidRDefault="00624A92" w:rsidP="00624A92">
      <w:pPr>
        <w:pStyle w:val="Odstavecseseznamem"/>
        <w:spacing w:after="0"/>
        <w:ind w:left="0"/>
        <w:jc w:val="both"/>
        <w:rPr>
          <w:b/>
          <w:sz w:val="24"/>
          <w:szCs w:val="24"/>
          <w:u w:val="single"/>
        </w:rPr>
      </w:pPr>
      <w:r w:rsidRPr="00D06AC6">
        <w:rPr>
          <w:b/>
          <w:sz w:val="24"/>
          <w:szCs w:val="24"/>
        </w:rPr>
        <w:t xml:space="preserve">4.   </w:t>
      </w:r>
      <w:r w:rsidRPr="00D06AC6">
        <w:rPr>
          <w:b/>
          <w:sz w:val="24"/>
          <w:szCs w:val="24"/>
          <w:u w:val="single"/>
        </w:rPr>
        <w:t>Irsko - SA. 31236 (2011/N):</w:t>
      </w:r>
    </w:p>
    <w:p w14:paraId="2A11D919" w14:textId="77777777" w:rsidR="00624A92" w:rsidRPr="00C07DEA" w:rsidRDefault="00624A92" w:rsidP="00624A92">
      <w:pPr>
        <w:pStyle w:val="Normlnweb"/>
        <w:spacing w:before="0" w:beforeAutospacing="0" w:after="0" w:afterAutospacing="0"/>
        <w:jc w:val="both"/>
        <w:rPr>
          <w:rFonts w:asciiTheme="minorHAnsi" w:hAnsiTheme="minorHAnsi"/>
        </w:rPr>
      </w:pPr>
    </w:p>
    <w:p w14:paraId="09C253ED" w14:textId="77777777" w:rsidR="00624A92" w:rsidRPr="00C07DEA" w:rsidRDefault="00624A92" w:rsidP="00624A92">
      <w:pPr>
        <w:spacing w:after="0" w:line="240" w:lineRule="auto"/>
        <w:jc w:val="both"/>
        <w:rPr>
          <w:sz w:val="24"/>
          <w:szCs w:val="24"/>
          <w:u w:val="single"/>
        </w:rPr>
      </w:pPr>
      <w:r w:rsidRPr="00C07DEA">
        <w:rPr>
          <w:sz w:val="24"/>
          <w:szCs w:val="24"/>
          <w:u w:val="single"/>
        </w:rPr>
        <w:t xml:space="preserve">Vymezené období: </w:t>
      </w:r>
    </w:p>
    <w:p w14:paraId="7F1A5547" w14:textId="77777777" w:rsidR="00624A92" w:rsidRPr="00C07DEA" w:rsidRDefault="00624A92" w:rsidP="00624A92">
      <w:pPr>
        <w:pStyle w:val="Normlnweb"/>
        <w:spacing w:before="0" w:beforeAutospacing="0" w:after="0" w:afterAutospacing="0"/>
        <w:jc w:val="both"/>
        <w:rPr>
          <w:rFonts w:asciiTheme="minorHAnsi" w:hAnsiTheme="minorHAnsi"/>
        </w:rPr>
      </w:pPr>
    </w:p>
    <w:p w14:paraId="30468F1D" w14:textId="77777777" w:rsidR="00624A92" w:rsidRPr="00C07DEA" w:rsidRDefault="00624A92" w:rsidP="00624A92">
      <w:pPr>
        <w:pStyle w:val="Normlnweb"/>
        <w:spacing w:before="0" w:beforeAutospacing="0" w:after="0" w:afterAutospacing="0"/>
        <w:jc w:val="both"/>
        <w:rPr>
          <w:rFonts w:asciiTheme="minorHAnsi" w:hAnsiTheme="minorHAnsi"/>
        </w:rPr>
      </w:pPr>
      <w:r w:rsidRPr="00C07DEA">
        <w:rPr>
          <w:rFonts w:asciiTheme="minorHAnsi" w:hAnsiTheme="minorHAnsi"/>
        </w:rPr>
        <w:t>SA. 31236 (2011/N): 1.1.2010-31.12.2015</w:t>
      </w:r>
    </w:p>
    <w:p w14:paraId="1DED0B00" w14:textId="77777777" w:rsidR="00624A92" w:rsidRPr="00C07DEA" w:rsidRDefault="00624A92" w:rsidP="00624A92">
      <w:pPr>
        <w:pStyle w:val="Normlnweb"/>
        <w:spacing w:before="0" w:beforeAutospacing="0" w:after="0" w:afterAutospacing="0"/>
        <w:jc w:val="both"/>
        <w:rPr>
          <w:rFonts w:asciiTheme="minorHAnsi" w:hAnsiTheme="minorHAnsi"/>
        </w:rPr>
      </w:pPr>
    </w:p>
    <w:p w14:paraId="0B6D2BBD" w14:textId="77777777" w:rsidR="00624A92" w:rsidRPr="00C07DEA" w:rsidRDefault="00624A92" w:rsidP="00624A92">
      <w:pPr>
        <w:pStyle w:val="Normlnweb"/>
        <w:spacing w:before="0" w:beforeAutospacing="0" w:after="0" w:afterAutospacing="0"/>
        <w:jc w:val="both"/>
        <w:rPr>
          <w:rFonts w:asciiTheme="minorHAnsi" w:hAnsiTheme="minorHAnsi"/>
          <w:u w:val="single"/>
        </w:rPr>
      </w:pPr>
      <w:r w:rsidRPr="00C07DEA">
        <w:rPr>
          <w:rFonts w:asciiTheme="minorHAnsi" w:hAnsiTheme="minorHAnsi"/>
          <w:u w:val="single"/>
        </w:rPr>
        <w:t>Překompenzace:</w:t>
      </w:r>
    </w:p>
    <w:p w14:paraId="7633AF19" w14:textId="77777777" w:rsidR="00624A92" w:rsidRPr="00C07DEA" w:rsidRDefault="00624A92" w:rsidP="00624A92">
      <w:pPr>
        <w:pStyle w:val="Normlnweb"/>
        <w:spacing w:before="0" w:beforeAutospacing="0" w:after="0" w:afterAutospacing="0"/>
        <w:jc w:val="both"/>
        <w:rPr>
          <w:rFonts w:asciiTheme="minorHAnsi" w:hAnsiTheme="minorHAnsi"/>
        </w:rPr>
      </w:pPr>
    </w:p>
    <w:p w14:paraId="37D15030" w14:textId="77777777" w:rsidR="00624A92" w:rsidRPr="00C07DEA" w:rsidRDefault="00624A92" w:rsidP="00624A92">
      <w:pPr>
        <w:spacing w:after="0" w:line="240" w:lineRule="auto"/>
        <w:jc w:val="both"/>
        <w:rPr>
          <w:i/>
          <w:sz w:val="24"/>
          <w:szCs w:val="24"/>
        </w:rPr>
      </w:pPr>
      <w:r w:rsidRPr="00C07DEA">
        <w:rPr>
          <w:i/>
          <w:sz w:val="24"/>
          <w:szCs w:val="24"/>
        </w:rPr>
        <w:t>(55) V souladu s požadavky bodu 109 (a) (absence překompenzace), irské orgány prokázaly, že mechanismus REFIT je navržen tak, aby kompenzoval pouze rozdíl mezi náklady na výrobu energie z dotyčných obnovitelných zdrojů energie a tržní cenou. Irské orgány předložily podrobný příklad výpočtu pro jednotlivé technologie včetně rozpisu jednotlivých kategorií nákladů pro určení výrobních nákladů.</w:t>
      </w:r>
    </w:p>
    <w:p w14:paraId="73FE0FE2" w14:textId="77777777" w:rsidR="00624A92" w:rsidRPr="00C07DEA" w:rsidRDefault="00624A92" w:rsidP="00624A92">
      <w:pPr>
        <w:spacing w:after="0" w:line="240" w:lineRule="auto"/>
        <w:jc w:val="both"/>
        <w:rPr>
          <w:i/>
          <w:sz w:val="24"/>
          <w:szCs w:val="24"/>
        </w:rPr>
      </w:pPr>
    </w:p>
    <w:p w14:paraId="74B4581F" w14:textId="77777777" w:rsidR="00624A92" w:rsidRPr="00C07DEA" w:rsidRDefault="00624A92" w:rsidP="00624A92">
      <w:pPr>
        <w:spacing w:after="0" w:line="240" w:lineRule="auto"/>
        <w:jc w:val="both"/>
        <w:rPr>
          <w:i/>
          <w:sz w:val="24"/>
          <w:szCs w:val="24"/>
        </w:rPr>
      </w:pPr>
      <w:r w:rsidRPr="00C07DEA">
        <w:rPr>
          <w:i/>
          <w:sz w:val="24"/>
          <w:szCs w:val="24"/>
        </w:rPr>
        <w:lastRenderedPageBreak/>
        <w:t>(58) Komise poznamenává, že navrhované ceny technologie nejsou vyšší než náklady vynaložené výrobci z RES-E. S ohledem na neexistenci překompenzace v čase Komise konstatuje, že mechanismus REFIT je navržen tak, že úroveň podpory je založena na vývoji tržní ceny. Kromě toho doba trvání oznámeného opatření je pouze do 31. prosince 2015, což omezuje riziko, že vývoj technologie mohou snížit investiční náklady budoucích projektů pod garantovanou úroveň podpory.</w:t>
      </w:r>
    </w:p>
    <w:p w14:paraId="45A58364" w14:textId="77777777" w:rsidR="00624A92" w:rsidRPr="00C07DEA" w:rsidRDefault="00624A92" w:rsidP="00624A92">
      <w:pPr>
        <w:pStyle w:val="Normlnweb"/>
        <w:spacing w:before="0" w:beforeAutospacing="0" w:after="0" w:afterAutospacing="0"/>
        <w:jc w:val="both"/>
        <w:rPr>
          <w:rFonts w:asciiTheme="minorHAnsi" w:hAnsiTheme="minorHAnsi"/>
          <w:i/>
        </w:rPr>
      </w:pPr>
    </w:p>
    <w:p w14:paraId="79AE5CFB" w14:textId="77777777" w:rsidR="00624A92" w:rsidRPr="00C07DEA" w:rsidRDefault="00624A92" w:rsidP="00624A92">
      <w:pPr>
        <w:pStyle w:val="Normlnweb"/>
        <w:spacing w:before="0" w:beforeAutospacing="0" w:after="0" w:afterAutospacing="0"/>
        <w:jc w:val="both"/>
        <w:rPr>
          <w:rFonts w:asciiTheme="minorHAnsi" w:hAnsiTheme="minorHAnsi"/>
          <w:i/>
          <w:u w:val="single"/>
        </w:rPr>
      </w:pPr>
      <w:r w:rsidRPr="00C07DEA">
        <w:rPr>
          <w:rFonts w:asciiTheme="minorHAnsi" w:hAnsiTheme="minorHAnsi"/>
          <w:i/>
        </w:rPr>
        <w:t>(59) S ohledem na výše uvedené úvahy Komise shledala, že oznámené opatření je v souladu s podmínkou absence překompenzace.</w:t>
      </w:r>
    </w:p>
    <w:p w14:paraId="3131F83B" w14:textId="77777777" w:rsidR="00624A92" w:rsidRPr="00C07DEA" w:rsidRDefault="00624A92" w:rsidP="00624A92">
      <w:pPr>
        <w:pStyle w:val="Normlnweb"/>
        <w:spacing w:before="0" w:beforeAutospacing="0" w:after="0" w:afterAutospacing="0"/>
        <w:jc w:val="both"/>
        <w:rPr>
          <w:rFonts w:asciiTheme="minorHAnsi" w:hAnsiTheme="minorHAnsi"/>
          <w:u w:val="single"/>
        </w:rPr>
      </w:pPr>
    </w:p>
    <w:p w14:paraId="650CAA66" w14:textId="77777777" w:rsidR="00624A92" w:rsidRPr="00C07DEA" w:rsidRDefault="00624A92" w:rsidP="00624A92">
      <w:pPr>
        <w:pStyle w:val="Normlnweb"/>
        <w:spacing w:before="0" w:beforeAutospacing="0" w:after="0" w:afterAutospacing="0"/>
        <w:jc w:val="both"/>
        <w:rPr>
          <w:rFonts w:asciiTheme="minorHAnsi" w:hAnsiTheme="minorHAnsi"/>
          <w:u w:val="single"/>
        </w:rPr>
      </w:pPr>
      <w:r w:rsidRPr="00C07DEA">
        <w:rPr>
          <w:rFonts w:asciiTheme="minorHAnsi" w:hAnsiTheme="minorHAnsi"/>
          <w:u w:val="single"/>
        </w:rPr>
        <w:t>Monitoring podpory:</w:t>
      </w:r>
    </w:p>
    <w:p w14:paraId="31F20963" w14:textId="77777777" w:rsidR="00624A92" w:rsidRPr="00C07DEA" w:rsidRDefault="00624A92" w:rsidP="00624A92">
      <w:pPr>
        <w:pStyle w:val="Normlnweb"/>
        <w:spacing w:before="0" w:beforeAutospacing="0" w:after="0" w:afterAutospacing="0"/>
        <w:jc w:val="both"/>
        <w:rPr>
          <w:rFonts w:asciiTheme="minorHAnsi" w:hAnsiTheme="minorHAnsi"/>
        </w:rPr>
      </w:pPr>
    </w:p>
    <w:p w14:paraId="2D5ED7E2" w14:textId="77777777" w:rsidR="00624A92" w:rsidRPr="00C07DEA" w:rsidRDefault="00624A92" w:rsidP="00624A92">
      <w:pPr>
        <w:spacing w:after="0" w:line="240" w:lineRule="auto"/>
        <w:jc w:val="both"/>
        <w:rPr>
          <w:i/>
          <w:sz w:val="24"/>
          <w:szCs w:val="24"/>
        </w:rPr>
      </w:pPr>
      <w:r w:rsidRPr="00C07DEA">
        <w:rPr>
          <w:i/>
          <w:sz w:val="24"/>
          <w:szCs w:val="24"/>
        </w:rPr>
        <w:t>(43) Irské orgány potvrzují, že budou dodržovat každoroční ohlašovací povinnosti a monitorování, jak je stanoveno v oddílech 7.1 a 7.3 Pokynů pro ochranu životního prostředí.</w:t>
      </w:r>
    </w:p>
    <w:p w14:paraId="2A8CC66E" w14:textId="77777777" w:rsidR="00624A92" w:rsidRPr="00C07DEA" w:rsidRDefault="00624A92" w:rsidP="00624A92">
      <w:pPr>
        <w:pStyle w:val="Normlnweb"/>
        <w:spacing w:before="0" w:beforeAutospacing="0" w:after="0" w:afterAutospacing="0"/>
        <w:jc w:val="both"/>
        <w:rPr>
          <w:rFonts w:asciiTheme="minorHAnsi" w:hAnsiTheme="minorHAnsi"/>
          <w:i/>
        </w:rPr>
      </w:pPr>
    </w:p>
    <w:p w14:paraId="75A52ED1" w14:textId="77777777" w:rsidR="00624A92" w:rsidRPr="00C07DEA" w:rsidRDefault="00624A92" w:rsidP="00624A92">
      <w:pPr>
        <w:pStyle w:val="Normlnweb"/>
        <w:spacing w:before="0" w:beforeAutospacing="0" w:after="0" w:afterAutospacing="0"/>
        <w:jc w:val="both"/>
        <w:rPr>
          <w:rFonts w:asciiTheme="minorHAnsi" w:hAnsiTheme="minorHAnsi"/>
          <w:i/>
          <w:u w:val="single"/>
        </w:rPr>
      </w:pPr>
      <w:r w:rsidRPr="00C07DEA">
        <w:rPr>
          <w:rFonts w:asciiTheme="minorHAnsi" w:hAnsiTheme="minorHAnsi"/>
          <w:i/>
        </w:rPr>
        <w:t>(60) Irské orgány potvrdily dodržování ustanovení výročních zpráv a monitorování v Pokynech na ochranu životního prostředí, jak je stanoveno v oddílech 7.1 a 7.3. Komise připomíná irským orgánům, že v případě, že výsledný výkon ze zařízení pro výrobu elektřiny z obnovitelných zdrojů na určitém zařízení překročí 125 MW, bude muset být podpora samostatně oznámena Komisi.</w:t>
      </w:r>
    </w:p>
    <w:p w14:paraId="5D02055B" w14:textId="77777777" w:rsidR="00624A92" w:rsidRPr="00C07DEA" w:rsidRDefault="00624A92" w:rsidP="00624A92">
      <w:pPr>
        <w:pStyle w:val="Normlnweb"/>
        <w:spacing w:before="0" w:beforeAutospacing="0" w:after="0" w:afterAutospacing="0"/>
        <w:jc w:val="both"/>
        <w:rPr>
          <w:rFonts w:asciiTheme="minorHAnsi" w:hAnsiTheme="minorHAnsi"/>
          <w:u w:val="single"/>
        </w:rPr>
      </w:pPr>
    </w:p>
    <w:p w14:paraId="21E4BD93" w14:textId="77777777" w:rsidR="00624A92" w:rsidRPr="00C07DEA" w:rsidRDefault="00624A92" w:rsidP="00624A92">
      <w:pPr>
        <w:pStyle w:val="Normlnweb"/>
        <w:spacing w:before="0" w:beforeAutospacing="0" w:after="0" w:afterAutospacing="0"/>
        <w:jc w:val="both"/>
        <w:rPr>
          <w:rFonts w:asciiTheme="minorHAnsi" w:hAnsiTheme="minorHAnsi"/>
          <w:u w:val="single"/>
        </w:rPr>
      </w:pPr>
      <w:r w:rsidRPr="00C07DEA">
        <w:rPr>
          <w:rFonts w:asciiTheme="minorHAnsi" w:hAnsiTheme="minorHAnsi"/>
          <w:u w:val="single"/>
        </w:rPr>
        <w:t>Hodnoty IRR:</w:t>
      </w:r>
    </w:p>
    <w:p w14:paraId="5F496886" w14:textId="77777777" w:rsidR="00624A92" w:rsidRPr="00C07DEA" w:rsidRDefault="00624A92" w:rsidP="00624A92">
      <w:pPr>
        <w:pStyle w:val="Normlnweb"/>
        <w:spacing w:before="0" w:beforeAutospacing="0" w:after="0" w:afterAutospacing="0"/>
        <w:jc w:val="both"/>
        <w:rPr>
          <w:rFonts w:asciiTheme="minorHAnsi" w:hAnsiTheme="minorHAnsi"/>
          <w:u w:val="single"/>
        </w:rPr>
      </w:pPr>
    </w:p>
    <w:p w14:paraId="1E3BB865" w14:textId="77777777" w:rsidR="00624A92" w:rsidRPr="00C07DEA" w:rsidRDefault="00624A92" w:rsidP="00624A92">
      <w:pPr>
        <w:spacing w:line="240" w:lineRule="auto"/>
        <w:jc w:val="both"/>
        <w:rPr>
          <w:i/>
          <w:sz w:val="24"/>
          <w:szCs w:val="24"/>
        </w:rPr>
      </w:pPr>
      <w:r w:rsidRPr="00C07DEA">
        <w:rPr>
          <w:i/>
          <w:sz w:val="24"/>
          <w:szCs w:val="24"/>
        </w:rPr>
        <w:t>V rozhodnutí není uvedeno.</w:t>
      </w:r>
    </w:p>
    <w:p w14:paraId="33926391" w14:textId="77777777" w:rsidR="00624A92" w:rsidRPr="00C07DEA" w:rsidRDefault="00624A92" w:rsidP="00624A92">
      <w:pPr>
        <w:pStyle w:val="Normlnweb"/>
        <w:spacing w:before="0" w:beforeAutospacing="0" w:after="0" w:afterAutospacing="0"/>
        <w:jc w:val="both"/>
        <w:rPr>
          <w:rFonts w:asciiTheme="minorHAnsi" w:hAnsiTheme="minorHAnsi"/>
          <w:u w:val="single"/>
        </w:rPr>
      </w:pPr>
      <w:r w:rsidRPr="00C07DEA">
        <w:rPr>
          <w:rFonts w:asciiTheme="minorHAnsi" w:hAnsiTheme="minorHAnsi"/>
          <w:u w:val="single"/>
        </w:rPr>
        <w:t>Kumulace podpor:</w:t>
      </w:r>
    </w:p>
    <w:p w14:paraId="1202896C" w14:textId="77777777" w:rsidR="00624A92" w:rsidRPr="00C07DEA" w:rsidRDefault="00624A92" w:rsidP="00624A92">
      <w:pPr>
        <w:pStyle w:val="Normlnweb"/>
        <w:spacing w:before="0" w:beforeAutospacing="0" w:after="0" w:afterAutospacing="0"/>
        <w:jc w:val="both"/>
        <w:rPr>
          <w:rFonts w:asciiTheme="minorHAnsi" w:hAnsiTheme="minorHAnsi"/>
        </w:rPr>
      </w:pPr>
    </w:p>
    <w:p w14:paraId="065E9C40" w14:textId="77777777" w:rsidR="00624A92" w:rsidRPr="00C07DEA" w:rsidRDefault="00624A92" w:rsidP="00624A92">
      <w:pPr>
        <w:spacing w:after="0" w:line="240" w:lineRule="auto"/>
        <w:jc w:val="both"/>
        <w:rPr>
          <w:i/>
          <w:sz w:val="24"/>
          <w:szCs w:val="24"/>
        </w:rPr>
      </w:pPr>
      <w:r w:rsidRPr="00C07DEA">
        <w:rPr>
          <w:i/>
          <w:sz w:val="24"/>
          <w:szCs w:val="24"/>
        </w:rPr>
        <w:t>(34) Podpora, která má být poskytnuta v rámci oznámeného opatření, nemůže být kumulována s jinými formami podpory pro krytí stejných způsobilých výdajů. Oznámené opatření bude koexistovat a komunikovat s daňovou úlevou, poskytnutou na základě oddílu 486B zákona o daňové konsolidaci (TCA) 1997, který umožňuje investorovi uplatnit nárok na menší díl z 50 % všech kapitálových výdajů (s výjimkou pozemků) nebo 9,525 EUR milionů na jeden projekt. Investice společností nebo skupinou v rámci tohoto režimu je omezena na 12.7 milionů EUR ročně. Nicméně, irské orgány vysvětlily a poskytly podrobné výpočty pro každou technologii, jež prokázaly, že náklady použité k určení ceny technologie REFIT jsou sníženy o daňové úlevy. Jak je uvedeno v příloze 1, maximální daňová úleva pro každou technologii se odečítá od kapitálových nákladů EUR/MW. Kapitálové náklady, včetně daňové úlevy (EUR/MW) jsou následně použity při výpočtu celkových nivelizovaných výrobních nákladů (EUR/MW), které jsou následně porovnány s tarifem REFIT.</w:t>
      </w:r>
    </w:p>
    <w:p w14:paraId="769CF693" w14:textId="77777777" w:rsidR="00624A92" w:rsidRPr="00D06AC6" w:rsidRDefault="00624A92" w:rsidP="00624A92">
      <w:pPr>
        <w:pStyle w:val="Normlnweb"/>
        <w:spacing w:before="0" w:beforeAutospacing="0" w:after="0" w:afterAutospacing="0"/>
        <w:jc w:val="both"/>
        <w:rPr>
          <w:rFonts w:asciiTheme="minorHAnsi" w:hAnsiTheme="minorHAnsi"/>
        </w:rPr>
      </w:pPr>
    </w:p>
    <w:p w14:paraId="7EAC4F7F" w14:textId="77777777" w:rsidR="00624A92" w:rsidRPr="00D06AC6" w:rsidRDefault="00624A92" w:rsidP="00624A92">
      <w:pPr>
        <w:pStyle w:val="Normlnweb"/>
        <w:spacing w:before="0" w:beforeAutospacing="0" w:after="0" w:afterAutospacing="0"/>
        <w:jc w:val="both"/>
        <w:rPr>
          <w:rFonts w:asciiTheme="minorHAnsi" w:hAnsiTheme="minorHAnsi"/>
        </w:rPr>
      </w:pPr>
    </w:p>
    <w:p w14:paraId="3372C322" w14:textId="77777777" w:rsidR="00624A92" w:rsidRPr="00C14EDF" w:rsidRDefault="00624A92" w:rsidP="00624A92">
      <w:pPr>
        <w:pStyle w:val="Odstavecseseznamem"/>
        <w:spacing w:after="0"/>
        <w:ind w:left="0"/>
        <w:jc w:val="both"/>
        <w:rPr>
          <w:b/>
          <w:sz w:val="24"/>
          <w:szCs w:val="24"/>
          <w:u w:val="single"/>
        </w:rPr>
      </w:pPr>
      <w:r w:rsidRPr="00C14EDF">
        <w:rPr>
          <w:b/>
          <w:sz w:val="24"/>
          <w:szCs w:val="24"/>
        </w:rPr>
        <w:t xml:space="preserve">5.  </w:t>
      </w:r>
      <w:r w:rsidRPr="00C14EDF">
        <w:rPr>
          <w:b/>
          <w:sz w:val="24"/>
          <w:szCs w:val="24"/>
          <w:u w:val="single"/>
        </w:rPr>
        <w:t>Německo – SA. 38632 (2014/N), SA. 40912 (N/2015):</w:t>
      </w:r>
    </w:p>
    <w:p w14:paraId="54B4BCE7" w14:textId="77777777" w:rsidR="00624A92" w:rsidRPr="00C07DEA" w:rsidRDefault="00624A92" w:rsidP="00624A92">
      <w:pPr>
        <w:pStyle w:val="Normlnweb"/>
        <w:spacing w:before="0" w:beforeAutospacing="0" w:after="0" w:afterAutospacing="0"/>
        <w:jc w:val="both"/>
        <w:rPr>
          <w:rFonts w:asciiTheme="minorHAnsi" w:hAnsiTheme="minorHAnsi"/>
        </w:rPr>
      </w:pPr>
    </w:p>
    <w:p w14:paraId="34BFC3AF" w14:textId="77777777" w:rsidR="00624A92" w:rsidRPr="00C07DEA" w:rsidRDefault="00624A92" w:rsidP="00624A92">
      <w:pPr>
        <w:spacing w:after="0" w:line="240" w:lineRule="auto"/>
        <w:jc w:val="both"/>
        <w:rPr>
          <w:sz w:val="24"/>
          <w:szCs w:val="24"/>
          <w:u w:val="single"/>
        </w:rPr>
      </w:pPr>
      <w:r w:rsidRPr="00C07DEA">
        <w:rPr>
          <w:sz w:val="24"/>
          <w:szCs w:val="24"/>
          <w:u w:val="single"/>
        </w:rPr>
        <w:t xml:space="preserve">Vymezené období: </w:t>
      </w:r>
    </w:p>
    <w:p w14:paraId="3BC2DB47" w14:textId="77777777" w:rsidR="00624A92" w:rsidRPr="00C07DEA" w:rsidRDefault="00624A92" w:rsidP="00624A92">
      <w:pPr>
        <w:spacing w:after="0" w:line="240" w:lineRule="auto"/>
        <w:jc w:val="both"/>
        <w:rPr>
          <w:sz w:val="24"/>
          <w:szCs w:val="24"/>
        </w:rPr>
      </w:pPr>
    </w:p>
    <w:p w14:paraId="3D63104E" w14:textId="77777777" w:rsidR="00624A92" w:rsidRPr="00C07DEA" w:rsidRDefault="00624A92" w:rsidP="00624A92">
      <w:pPr>
        <w:spacing w:after="0" w:line="240" w:lineRule="auto"/>
        <w:jc w:val="both"/>
        <w:rPr>
          <w:sz w:val="24"/>
          <w:szCs w:val="24"/>
        </w:rPr>
      </w:pPr>
      <w:r w:rsidRPr="00C07DEA">
        <w:rPr>
          <w:sz w:val="24"/>
          <w:szCs w:val="24"/>
        </w:rPr>
        <w:t>SA. 38632 (2014/N): do 31.12.2016/10 let pro energ. nároč. uživatele</w:t>
      </w:r>
    </w:p>
    <w:p w14:paraId="1C754E30" w14:textId="77777777" w:rsidR="00624A92" w:rsidRPr="00C07DEA" w:rsidRDefault="00624A92" w:rsidP="00624A92">
      <w:pPr>
        <w:spacing w:after="0" w:line="240" w:lineRule="auto"/>
        <w:jc w:val="both"/>
        <w:rPr>
          <w:sz w:val="24"/>
          <w:szCs w:val="24"/>
        </w:rPr>
      </w:pPr>
      <w:r w:rsidRPr="00C07DEA">
        <w:rPr>
          <w:sz w:val="24"/>
          <w:szCs w:val="24"/>
        </w:rPr>
        <w:t>SA. 40912 (N/2015): do 31.12.2016</w:t>
      </w:r>
    </w:p>
    <w:p w14:paraId="5B4556B6" w14:textId="77777777" w:rsidR="00624A92" w:rsidRPr="00C07DEA" w:rsidRDefault="00624A92" w:rsidP="00624A92">
      <w:pPr>
        <w:pStyle w:val="Normlnweb"/>
        <w:spacing w:before="0" w:beforeAutospacing="0" w:after="0" w:afterAutospacing="0"/>
        <w:jc w:val="both"/>
        <w:rPr>
          <w:rFonts w:asciiTheme="minorHAnsi" w:hAnsiTheme="minorHAnsi"/>
          <w:u w:val="single"/>
        </w:rPr>
      </w:pPr>
    </w:p>
    <w:p w14:paraId="0E1C64B4" w14:textId="77777777" w:rsidR="00624A92" w:rsidRPr="00C07DEA" w:rsidRDefault="00624A92" w:rsidP="00624A92">
      <w:pPr>
        <w:pStyle w:val="Normlnweb"/>
        <w:spacing w:before="0" w:beforeAutospacing="0" w:after="0" w:afterAutospacing="0"/>
        <w:jc w:val="both"/>
        <w:rPr>
          <w:rFonts w:asciiTheme="minorHAnsi" w:hAnsiTheme="minorHAnsi"/>
          <w:u w:val="single"/>
        </w:rPr>
      </w:pPr>
      <w:r w:rsidRPr="00C07DEA">
        <w:rPr>
          <w:rFonts w:asciiTheme="minorHAnsi" w:hAnsiTheme="minorHAnsi"/>
          <w:u w:val="single"/>
        </w:rPr>
        <w:lastRenderedPageBreak/>
        <w:t>Překompenzace:</w:t>
      </w:r>
    </w:p>
    <w:p w14:paraId="72500609" w14:textId="77777777" w:rsidR="00624A92" w:rsidRPr="00C07DEA" w:rsidRDefault="00624A92" w:rsidP="00624A92">
      <w:pPr>
        <w:pStyle w:val="Normlnweb"/>
        <w:spacing w:before="0" w:beforeAutospacing="0" w:after="0" w:afterAutospacing="0"/>
        <w:jc w:val="both"/>
        <w:rPr>
          <w:rFonts w:asciiTheme="minorHAnsi" w:hAnsiTheme="minorHAnsi"/>
        </w:rPr>
      </w:pPr>
    </w:p>
    <w:p w14:paraId="03046D67" w14:textId="77777777" w:rsidR="00624A92" w:rsidRPr="00C07DEA" w:rsidRDefault="00624A92" w:rsidP="00624A92">
      <w:pPr>
        <w:spacing w:after="0" w:line="240" w:lineRule="auto"/>
        <w:jc w:val="both"/>
        <w:rPr>
          <w:i/>
          <w:sz w:val="24"/>
          <w:szCs w:val="24"/>
        </w:rPr>
      </w:pPr>
      <w:r w:rsidRPr="00C07DEA">
        <w:rPr>
          <w:i/>
          <w:sz w:val="24"/>
          <w:szCs w:val="24"/>
        </w:rPr>
        <w:t>(146) V případě, že německá vláda zjistí, že u budoucích zařízení může dojít k překompenzaci, zahájí legislativní proces k přezkoumání tarifů, aby se zabránilo jakékoli překompenzaci.</w:t>
      </w:r>
    </w:p>
    <w:p w14:paraId="5BE5ABB5" w14:textId="77777777" w:rsidR="00624A92" w:rsidRPr="00C07DEA" w:rsidRDefault="00624A92" w:rsidP="00624A92">
      <w:pPr>
        <w:spacing w:after="0" w:line="240" w:lineRule="auto"/>
        <w:jc w:val="both"/>
        <w:rPr>
          <w:i/>
          <w:sz w:val="24"/>
          <w:szCs w:val="24"/>
        </w:rPr>
      </w:pPr>
    </w:p>
    <w:p w14:paraId="14F92DCE" w14:textId="77777777" w:rsidR="00624A92" w:rsidRPr="00C07DEA" w:rsidRDefault="00624A92" w:rsidP="00624A92">
      <w:pPr>
        <w:spacing w:after="0" w:line="240" w:lineRule="auto"/>
        <w:jc w:val="both"/>
        <w:rPr>
          <w:i/>
          <w:sz w:val="24"/>
          <w:szCs w:val="24"/>
        </w:rPr>
      </w:pPr>
      <w:r w:rsidRPr="00C07DEA">
        <w:rPr>
          <w:i/>
          <w:sz w:val="24"/>
          <w:szCs w:val="24"/>
        </w:rPr>
        <w:t>(265) Německo se zavázalo k ročnímu sledování výrobních nákladů, aby se ověřilo, že automatické nastavení je adekvátní a nevede k překompenzaci. Pokud Německo zjistí, že automatická úprava není dostatečná, zahájí legislativní proces s cílem přizpůsobit tarify a referenční hodnoty.</w:t>
      </w:r>
    </w:p>
    <w:p w14:paraId="365EE34C" w14:textId="77777777" w:rsidR="00624A92" w:rsidRPr="00C07DEA" w:rsidRDefault="00624A92" w:rsidP="00624A92">
      <w:pPr>
        <w:spacing w:after="0" w:line="240" w:lineRule="auto"/>
        <w:jc w:val="both"/>
        <w:rPr>
          <w:i/>
          <w:sz w:val="24"/>
          <w:szCs w:val="24"/>
        </w:rPr>
      </w:pPr>
    </w:p>
    <w:p w14:paraId="71429B92" w14:textId="77777777" w:rsidR="00624A92" w:rsidRPr="00C07DEA" w:rsidRDefault="00624A92" w:rsidP="00624A92">
      <w:pPr>
        <w:spacing w:after="0" w:line="240" w:lineRule="auto"/>
        <w:jc w:val="both"/>
        <w:rPr>
          <w:i/>
          <w:sz w:val="24"/>
          <w:szCs w:val="24"/>
        </w:rPr>
      </w:pPr>
      <w:r w:rsidRPr="00C07DEA">
        <w:rPr>
          <w:i/>
          <w:sz w:val="24"/>
          <w:szCs w:val="24"/>
        </w:rPr>
        <w:t>(288) Výpočty předložené Německem ukazují, že podpora je přiměřená v tom smyslu, že je omezena na rozdíl mezi tržní cenou a výrobními náklady a nevede k překompenzaci, jelikož referenční hodnota nepokrývá více než výrobní náklady. /38632 (2014/N)/</w:t>
      </w:r>
    </w:p>
    <w:p w14:paraId="23571C63" w14:textId="77777777" w:rsidR="00624A92" w:rsidRPr="00C07DEA" w:rsidRDefault="00624A92" w:rsidP="00624A92">
      <w:pPr>
        <w:spacing w:after="0" w:line="240" w:lineRule="auto"/>
        <w:jc w:val="both"/>
        <w:rPr>
          <w:i/>
          <w:sz w:val="24"/>
          <w:szCs w:val="24"/>
        </w:rPr>
      </w:pPr>
    </w:p>
    <w:p w14:paraId="5FE8CE9D" w14:textId="77777777" w:rsidR="00624A92" w:rsidRPr="00C07DEA" w:rsidRDefault="00624A92" w:rsidP="00624A92">
      <w:pPr>
        <w:spacing w:after="0" w:line="240" w:lineRule="auto"/>
        <w:jc w:val="both"/>
        <w:rPr>
          <w:i/>
          <w:sz w:val="24"/>
          <w:szCs w:val="24"/>
        </w:rPr>
      </w:pPr>
      <w:r w:rsidRPr="00C07DEA">
        <w:rPr>
          <w:i/>
          <w:sz w:val="24"/>
          <w:szCs w:val="24"/>
        </w:rPr>
        <w:t>(5) Možnost poskytnutí investiční podpory pro stejná zařízení nebyla vzata v úvahu při výpočtu sazeb zákona EEG 2014. Vzhledem k tomu, že sazby zákona EEG 2014 jsou již zavedeny, bude kontrola dodržování nového pravidla o kumulaci provedena na úrovni investiční podpory (a ne na úrovni provozní podpory v rámci zákona EEG- 2014). To znamená, že příslušné orgány odpovědné za poskytování dotčené investiční podpory, ať už v rámci režimu nebo jakožto individuální podpory, budou mít na starosti ověřit, že tato kumulace nepřekračuje míru příslušné podpory a zároveň nemá za následek překompenzaci u daných výroben elektřiny. V souladu s tím budou informovány prostřednictvím administrativního oznámení. V případě režimů investičních podpor to platí pro stávající režimy podpor i pro navrhování případných nových investičních podpor.</w:t>
      </w:r>
    </w:p>
    <w:p w14:paraId="014B5646" w14:textId="77777777" w:rsidR="00624A92" w:rsidRPr="00C07DEA" w:rsidRDefault="00624A92" w:rsidP="00624A92">
      <w:pPr>
        <w:spacing w:after="0" w:line="240" w:lineRule="auto"/>
        <w:jc w:val="both"/>
        <w:rPr>
          <w:i/>
          <w:sz w:val="24"/>
          <w:szCs w:val="24"/>
        </w:rPr>
      </w:pPr>
    </w:p>
    <w:p w14:paraId="42396ADC" w14:textId="77777777" w:rsidR="00624A92" w:rsidRPr="00C07DEA" w:rsidRDefault="00624A92" w:rsidP="00624A92">
      <w:pPr>
        <w:spacing w:after="0" w:line="240" w:lineRule="auto"/>
        <w:jc w:val="both"/>
        <w:rPr>
          <w:i/>
          <w:sz w:val="24"/>
          <w:szCs w:val="24"/>
        </w:rPr>
      </w:pPr>
      <w:r w:rsidRPr="00C07DEA">
        <w:rPr>
          <w:i/>
          <w:sz w:val="24"/>
          <w:szCs w:val="24"/>
        </w:rPr>
        <w:t>(13) Pokud jde o kumulaci pravidel pro investiční podpory a provozní podpory poskytnutých formou výkupních cen a příplatku k tržní ceně poskytnutého bez výběrového řízení, bod 128) EEAG čtený ve spojení s bodem 131) b) EEAG vyžadují, aby každá investiční podpora byla odečtena od celkové výše investice při výpočtu sdružené ceny energie (LCOE). Jelikož jsou sazby zákona EEG-2014 stanoveny bez přihlédnutí k možné investiční podpoře poskytnuté pro stejné zařízení, bude dodržování pravidel pro kumulaci provedeno na úrovni investiční podpory. V souladu s tím německé orgány prokázaly pomocí příkladů výpočtů pro jednotlivé obnovitelné technologie, že zařízení využívající provozní podporu v rámci zákona EEG 2014 mohou dostávat pouze investiční podporu, pokud tato podpora nevede k celkové výši podpory (včetně investiční i provozní podpory) větší, než je rozdíl mezi výrobními náklady (LCOE) a tržní cenou na jedné straně a mezi maximální povolenou mírou podpory podle EEAG nebo GBER, podle příslušnosti, pokud jde o investiční podporu. Německo také potvrdilo, že stejná metodika bude použitelná pro zařízení na důlní plyn, která jsou v souladu s § 3.2.5.2. EEAG. Německé orgány tak dostatečně prokázaly, že kumulace provozní a investiční podpory pro stejné způsobilé náklady výroben elektřiny z obnovitelných zdrojů nebude mít za následek překompenzaci nebo překročení stropů pro intenzitu podpory, za podmínek vhodné kontroly shody ze strany orgánů, poskytujících investiční podporu. Proto se nemění předchozí závěr Komise (v rozhodnutí SA.38632), pokud jde o přiměřenost podpory. /40912 (N/2015)/</w:t>
      </w:r>
    </w:p>
    <w:p w14:paraId="2FC552F0" w14:textId="77777777" w:rsidR="00624A92" w:rsidRPr="00C07DEA" w:rsidRDefault="00624A92" w:rsidP="00624A92">
      <w:pPr>
        <w:spacing w:after="0" w:line="240" w:lineRule="auto"/>
        <w:jc w:val="both"/>
        <w:rPr>
          <w:i/>
          <w:sz w:val="24"/>
          <w:szCs w:val="24"/>
        </w:rPr>
      </w:pPr>
    </w:p>
    <w:p w14:paraId="400B9E66" w14:textId="77777777" w:rsidR="00624A92" w:rsidRPr="00C07DEA" w:rsidRDefault="00624A92" w:rsidP="00624A92">
      <w:pPr>
        <w:spacing w:after="0" w:line="240" w:lineRule="auto"/>
        <w:jc w:val="both"/>
        <w:rPr>
          <w:i/>
          <w:sz w:val="24"/>
          <w:szCs w:val="24"/>
        </w:rPr>
      </w:pPr>
      <w:r w:rsidRPr="00C07DEA">
        <w:rPr>
          <w:i/>
          <w:sz w:val="24"/>
          <w:szCs w:val="24"/>
        </w:rPr>
        <w:t xml:space="preserve">(48) Německo uvedlo, že předtím, než se určí vhodná úroveň výkupních cen, studie a průzkumy probíhají tak, aby stanovily výrobní náklady u některých tříd technologie a zařízení, které jsou považovány za reprezentativní na základě praxe pozorované na trhu. </w:t>
      </w:r>
      <w:r w:rsidRPr="00C07DEA">
        <w:rPr>
          <w:i/>
          <w:sz w:val="24"/>
          <w:szCs w:val="24"/>
        </w:rPr>
        <w:lastRenderedPageBreak/>
        <w:t>Stanovení výrobních nákladů se provádí na základě údajů získaných od provozovatelů zařízení, výrobců zařízení, montážních firem, veřejných zdrojů a dosavadních zkušeností.</w:t>
      </w:r>
    </w:p>
    <w:p w14:paraId="18C88766" w14:textId="77777777" w:rsidR="00624A92" w:rsidRPr="00C07DEA" w:rsidRDefault="00624A92" w:rsidP="00624A92">
      <w:pPr>
        <w:spacing w:after="0" w:line="240" w:lineRule="auto"/>
        <w:jc w:val="both"/>
        <w:rPr>
          <w:i/>
          <w:sz w:val="24"/>
          <w:szCs w:val="24"/>
        </w:rPr>
      </w:pPr>
    </w:p>
    <w:p w14:paraId="5FFF0D73" w14:textId="77777777" w:rsidR="00624A92" w:rsidRPr="00C07DEA" w:rsidRDefault="00624A92" w:rsidP="00624A92">
      <w:pPr>
        <w:spacing w:after="0" w:line="240" w:lineRule="auto"/>
        <w:jc w:val="both"/>
        <w:rPr>
          <w:i/>
          <w:sz w:val="24"/>
          <w:szCs w:val="24"/>
        </w:rPr>
      </w:pPr>
      <w:r w:rsidRPr="00C07DEA">
        <w:rPr>
          <w:i/>
          <w:sz w:val="24"/>
          <w:szCs w:val="24"/>
        </w:rPr>
        <w:t>(161) S ohledem na neexistenci překompenzace v čase potvrdily německé orgány, že výrobní náklady budou sledovány v pravidelných intervalech (výroční zpráva a „Erfahrungsbericht“ (přezkum)" každé čtyři roky). /EEG 2012/</w:t>
      </w:r>
    </w:p>
    <w:p w14:paraId="56B3D3DC" w14:textId="77777777" w:rsidR="00624A92" w:rsidRPr="00C07DEA" w:rsidRDefault="00624A92" w:rsidP="00624A92">
      <w:pPr>
        <w:pStyle w:val="Normlnweb"/>
        <w:spacing w:before="0" w:beforeAutospacing="0" w:after="0" w:afterAutospacing="0"/>
        <w:jc w:val="both"/>
        <w:rPr>
          <w:rFonts w:asciiTheme="minorHAnsi" w:hAnsiTheme="minorHAnsi"/>
          <w:u w:val="single"/>
        </w:rPr>
      </w:pPr>
    </w:p>
    <w:p w14:paraId="4BD38C04" w14:textId="77777777" w:rsidR="00624A92" w:rsidRPr="00C07DEA" w:rsidRDefault="00624A92" w:rsidP="00624A92">
      <w:pPr>
        <w:pStyle w:val="Normlnweb"/>
        <w:spacing w:before="0" w:beforeAutospacing="0" w:after="0" w:afterAutospacing="0"/>
        <w:jc w:val="both"/>
        <w:rPr>
          <w:rFonts w:asciiTheme="minorHAnsi" w:hAnsiTheme="minorHAnsi"/>
          <w:u w:val="single"/>
        </w:rPr>
      </w:pPr>
      <w:r w:rsidRPr="00C07DEA">
        <w:rPr>
          <w:rFonts w:asciiTheme="minorHAnsi" w:hAnsiTheme="minorHAnsi"/>
          <w:u w:val="single"/>
        </w:rPr>
        <w:t>Monitoring podpory:</w:t>
      </w:r>
    </w:p>
    <w:p w14:paraId="0DAF6147" w14:textId="77777777" w:rsidR="00624A92" w:rsidRPr="00C07DEA" w:rsidRDefault="00624A92" w:rsidP="00624A92">
      <w:pPr>
        <w:pStyle w:val="Normlnweb"/>
        <w:spacing w:before="0" w:beforeAutospacing="0" w:after="0" w:afterAutospacing="0"/>
        <w:jc w:val="both"/>
        <w:rPr>
          <w:rFonts w:asciiTheme="minorHAnsi" w:hAnsiTheme="minorHAnsi"/>
        </w:rPr>
      </w:pPr>
    </w:p>
    <w:p w14:paraId="1C33A2E2" w14:textId="77777777" w:rsidR="00624A92" w:rsidRPr="00C07DEA" w:rsidRDefault="00624A92" w:rsidP="00624A92">
      <w:pPr>
        <w:spacing w:after="0" w:line="240" w:lineRule="auto"/>
        <w:jc w:val="both"/>
        <w:rPr>
          <w:i/>
          <w:sz w:val="24"/>
          <w:szCs w:val="24"/>
        </w:rPr>
      </w:pPr>
      <w:r w:rsidRPr="00C07DEA">
        <w:rPr>
          <w:i/>
          <w:sz w:val="24"/>
          <w:szCs w:val="24"/>
        </w:rPr>
        <w:t>(67) Agentura BNetzA byla pověřena různými monitorovacími úkoly.  Mimo jiné má sledovat, že:</w:t>
      </w:r>
    </w:p>
    <w:p w14:paraId="03FC7386" w14:textId="77777777" w:rsidR="00624A92" w:rsidRPr="00C07DEA" w:rsidRDefault="00624A92" w:rsidP="00624A92">
      <w:pPr>
        <w:spacing w:after="0" w:line="240" w:lineRule="auto"/>
        <w:jc w:val="both"/>
        <w:rPr>
          <w:i/>
          <w:sz w:val="24"/>
          <w:szCs w:val="24"/>
        </w:rPr>
      </w:pPr>
      <w:r w:rsidRPr="00C07DEA">
        <w:rPr>
          <w:i/>
          <w:sz w:val="24"/>
          <w:szCs w:val="24"/>
        </w:rPr>
        <w:t>a) TSO prodávají na spotovém trhu elektřinu, za niž jsou výkupní ceny vyplaceny v souladu s platnými pravidly (AusglMechV),</w:t>
      </w:r>
    </w:p>
    <w:p w14:paraId="06E890BC" w14:textId="77777777" w:rsidR="00624A92" w:rsidRPr="00C07DEA" w:rsidRDefault="00624A92" w:rsidP="00624A92">
      <w:pPr>
        <w:spacing w:after="0" w:line="240" w:lineRule="auto"/>
        <w:jc w:val="both"/>
        <w:rPr>
          <w:i/>
          <w:sz w:val="24"/>
          <w:szCs w:val="24"/>
        </w:rPr>
      </w:pPr>
      <w:r w:rsidRPr="00C07DEA">
        <w:rPr>
          <w:i/>
          <w:sz w:val="24"/>
          <w:szCs w:val="24"/>
        </w:rPr>
        <w:t>b) TSO správně určují, stanoví a zveřejňují příplatek EEG,</w:t>
      </w:r>
    </w:p>
    <w:p w14:paraId="2305207D" w14:textId="77777777" w:rsidR="00624A92" w:rsidRPr="00C07DEA" w:rsidRDefault="00624A92" w:rsidP="00624A92">
      <w:pPr>
        <w:spacing w:after="0" w:line="240" w:lineRule="auto"/>
        <w:jc w:val="both"/>
        <w:rPr>
          <w:i/>
          <w:sz w:val="24"/>
          <w:szCs w:val="24"/>
        </w:rPr>
      </w:pPr>
      <w:r w:rsidRPr="00C07DEA">
        <w:rPr>
          <w:i/>
          <w:sz w:val="24"/>
          <w:szCs w:val="24"/>
        </w:rPr>
        <w:t>c) Provozovatelé přenosových soustav správně účtují dodavatelům elektřiny příplatek EEG,</w:t>
      </w:r>
    </w:p>
    <w:p w14:paraId="16BC2AFD" w14:textId="77777777" w:rsidR="00624A92" w:rsidRPr="00C07DEA" w:rsidRDefault="00624A92" w:rsidP="00624A92">
      <w:pPr>
        <w:spacing w:after="0" w:line="240" w:lineRule="auto"/>
        <w:jc w:val="both"/>
        <w:rPr>
          <w:i/>
          <w:sz w:val="24"/>
          <w:szCs w:val="24"/>
        </w:rPr>
      </w:pPr>
      <w:r w:rsidRPr="00C07DEA">
        <w:rPr>
          <w:i/>
          <w:sz w:val="24"/>
          <w:szCs w:val="24"/>
        </w:rPr>
        <w:t>d) že výkupní ceny a prémie jsou řádně účtovány distribučními operátory přenosovým operátorům,</w:t>
      </w:r>
    </w:p>
    <w:p w14:paraId="4BC9DBA4" w14:textId="77777777" w:rsidR="00624A92" w:rsidRPr="00C07DEA" w:rsidRDefault="00624A92" w:rsidP="00624A92">
      <w:pPr>
        <w:spacing w:after="0" w:line="240" w:lineRule="auto"/>
        <w:jc w:val="both"/>
        <w:rPr>
          <w:i/>
          <w:sz w:val="24"/>
          <w:szCs w:val="24"/>
        </w:rPr>
      </w:pPr>
      <w:r w:rsidRPr="00C07DEA">
        <w:rPr>
          <w:i/>
          <w:sz w:val="24"/>
          <w:szCs w:val="24"/>
        </w:rPr>
        <w:t>e) že informace, které mají různí operátory předložit agentuře BNetzA, jsou jí opravdu předloženy</w:t>
      </w:r>
    </w:p>
    <w:p w14:paraId="19FBF11B" w14:textId="77777777" w:rsidR="00624A92" w:rsidRPr="00C07DEA" w:rsidRDefault="00624A92" w:rsidP="00624A92">
      <w:pPr>
        <w:spacing w:after="0" w:line="240" w:lineRule="auto"/>
        <w:jc w:val="both"/>
        <w:rPr>
          <w:i/>
          <w:sz w:val="24"/>
          <w:szCs w:val="24"/>
        </w:rPr>
      </w:pPr>
      <w:r w:rsidRPr="00C07DEA">
        <w:rPr>
          <w:i/>
          <w:sz w:val="24"/>
          <w:szCs w:val="24"/>
        </w:rPr>
        <w:t>f) že informace, které TSO musí zveřejnit, jsou skutečně publikovány,</w:t>
      </w:r>
    </w:p>
    <w:p w14:paraId="715D5A12" w14:textId="77777777" w:rsidR="00624A92" w:rsidRPr="00C07DEA" w:rsidRDefault="00624A92" w:rsidP="00624A92">
      <w:pPr>
        <w:spacing w:after="0" w:line="240" w:lineRule="auto"/>
        <w:jc w:val="both"/>
        <w:rPr>
          <w:i/>
          <w:sz w:val="24"/>
          <w:szCs w:val="24"/>
        </w:rPr>
      </w:pPr>
      <w:r w:rsidRPr="00C07DEA">
        <w:rPr>
          <w:i/>
          <w:sz w:val="24"/>
          <w:szCs w:val="24"/>
        </w:rPr>
        <w:t>g) že způsob, jakým elektřina z EEG může být zobrazen na účtu za elektřinu, je uvedena v souladu s § 78 zákona EEG-2014.</w:t>
      </w:r>
    </w:p>
    <w:p w14:paraId="25554666" w14:textId="77777777" w:rsidR="00624A92" w:rsidRPr="00C07DEA" w:rsidRDefault="00624A92" w:rsidP="00624A92">
      <w:pPr>
        <w:spacing w:after="0" w:line="240" w:lineRule="auto"/>
        <w:jc w:val="both"/>
        <w:rPr>
          <w:i/>
          <w:sz w:val="24"/>
          <w:szCs w:val="24"/>
        </w:rPr>
      </w:pPr>
    </w:p>
    <w:p w14:paraId="537A7339" w14:textId="77777777" w:rsidR="00624A92" w:rsidRPr="00C07DEA" w:rsidRDefault="00624A92" w:rsidP="00624A92">
      <w:pPr>
        <w:pStyle w:val="Normlnweb"/>
        <w:spacing w:before="0" w:beforeAutospacing="0" w:after="0" w:afterAutospacing="0"/>
        <w:jc w:val="both"/>
        <w:rPr>
          <w:rFonts w:asciiTheme="minorHAnsi" w:hAnsiTheme="minorHAnsi"/>
          <w:i/>
          <w:u w:val="single"/>
        </w:rPr>
      </w:pPr>
      <w:r w:rsidRPr="00C07DEA">
        <w:rPr>
          <w:rFonts w:asciiTheme="minorHAnsi" w:hAnsiTheme="minorHAnsi"/>
          <w:i/>
        </w:rPr>
        <w:t>(265) Německo se zavázalo k ročnímu sledování výrobních nákladů, aby se ověřilo, že automatické nastavení je adekvátní a nevede k překompenzaci. Pokud Německo zjistí, že automatická úprava není dostatečná, zahájí legislativní proces s cílem přizpůsobit tarify a referenční hodnoty. (Sa. 38632 (2014/N)).</w:t>
      </w:r>
    </w:p>
    <w:p w14:paraId="1BA32614" w14:textId="77777777" w:rsidR="00624A92" w:rsidRPr="00C07DEA" w:rsidRDefault="00624A92" w:rsidP="00624A92">
      <w:pPr>
        <w:pStyle w:val="Normlnweb"/>
        <w:spacing w:before="0" w:beforeAutospacing="0" w:after="0" w:afterAutospacing="0"/>
        <w:jc w:val="both"/>
        <w:rPr>
          <w:rFonts w:asciiTheme="minorHAnsi" w:hAnsiTheme="minorHAnsi"/>
          <w:u w:val="single"/>
        </w:rPr>
      </w:pPr>
    </w:p>
    <w:p w14:paraId="4777E7C7" w14:textId="77777777" w:rsidR="00624A92" w:rsidRPr="00C07DEA" w:rsidRDefault="00624A92" w:rsidP="00624A92">
      <w:pPr>
        <w:pStyle w:val="Normlnweb"/>
        <w:spacing w:before="0" w:beforeAutospacing="0" w:after="0" w:afterAutospacing="0"/>
        <w:jc w:val="both"/>
        <w:rPr>
          <w:rFonts w:asciiTheme="minorHAnsi" w:hAnsiTheme="minorHAnsi"/>
          <w:u w:val="single"/>
        </w:rPr>
      </w:pPr>
      <w:r w:rsidRPr="00C07DEA">
        <w:rPr>
          <w:rFonts w:asciiTheme="minorHAnsi" w:hAnsiTheme="minorHAnsi"/>
          <w:u w:val="single"/>
        </w:rPr>
        <w:t>Hodnoty IRR:</w:t>
      </w:r>
    </w:p>
    <w:p w14:paraId="5E039688" w14:textId="77777777" w:rsidR="00624A92" w:rsidRPr="00C07DEA" w:rsidRDefault="00624A92" w:rsidP="00624A92">
      <w:pPr>
        <w:pStyle w:val="Normlnweb"/>
        <w:spacing w:before="0" w:beforeAutospacing="0" w:after="0" w:afterAutospacing="0"/>
        <w:jc w:val="both"/>
        <w:rPr>
          <w:rFonts w:asciiTheme="minorHAnsi" w:hAnsiTheme="minorHAnsi"/>
          <w:u w:val="single"/>
        </w:rPr>
      </w:pPr>
    </w:p>
    <w:p w14:paraId="4AB2C60F" w14:textId="77777777" w:rsidR="00624A92" w:rsidRPr="00C07DEA" w:rsidRDefault="00624A92" w:rsidP="00624A92">
      <w:pPr>
        <w:spacing w:after="0"/>
        <w:jc w:val="both"/>
        <w:rPr>
          <w:i/>
          <w:sz w:val="24"/>
          <w:szCs w:val="24"/>
        </w:rPr>
      </w:pPr>
      <w:r w:rsidRPr="00C07DEA">
        <w:rPr>
          <w:i/>
          <w:sz w:val="24"/>
          <w:szCs w:val="24"/>
        </w:rPr>
        <w:t>IRR schválená Komisí jako přiměřená: 5% - 9,45% (bod 50)</w:t>
      </w:r>
    </w:p>
    <w:p w14:paraId="47650172" w14:textId="77777777" w:rsidR="00624A92" w:rsidRPr="00C07DEA" w:rsidRDefault="00624A92" w:rsidP="00624A92">
      <w:pPr>
        <w:pStyle w:val="Normlnweb"/>
        <w:spacing w:before="0" w:beforeAutospacing="0" w:after="0" w:afterAutospacing="0"/>
        <w:jc w:val="both"/>
        <w:rPr>
          <w:rFonts w:asciiTheme="minorHAnsi" w:hAnsiTheme="minorHAnsi"/>
        </w:rPr>
      </w:pPr>
    </w:p>
    <w:p w14:paraId="434AA481" w14:textId="77777777" w:rsidR="00624A92" w:rsidRPr="00C07DEA" w:rsidRDefault="00624A92" w:rsidP="00624A92">
      <w:pPr>
        <w:pStyle w:val="Normlnweb"/>
        <w:spacing w:before="0" w:beforeAutospacing="0" w:after="0" w:afterAutospacing="0"/>
        <w:jc w:val="both"/>
        <w:rPr>
          <w:rFonts w:asciiTheme="minorHAnsi" w:hAnsiTheme="minorHAnsi"/>
          <w:u w:val="single"/>
        </w:rPr>
      </w:pPr>
      <w:r w:rsidRPr="00C07DEA">
        <w:rPr>
          <w:rFonts w:asciiTheme="minorHAnsi" w:hAnsiTheme="minorHAnsi"/>
          <w:u w:val="single"/>
        </w:rPr>
        <w:t>Kumulace podpor:</w:t>
      </w:r>
    </w:p>
    <w:p w14:paraId="2195C03B" w14:textId="77777777" w:rsidR="00624A92" w:rsidRPr="00C07DEA" w:rsidRDefault="00624A92" w:rsidP="00624A92">
      <w:pPr>
        <w:pStyle w:val="Normlnweb"/>
        <w:spacing w:before="0" w:beforeAutospacing="0" w:after="0" w:afterAutospacing="0"/>
        <w:jc w:val="both"/>
        <w:rPr>
          <w:rFonts w:asciiTheme="minorHAnsi" w:hAnsiTheme="minorHAnsi"/>
        </w:rPr>
      </w:pPr>
    </w:p>
    <w:p w14:paraId="08FC6955" w14:textId="77777777" w:rsidR="00624A92" w:rsidRPr="00C07DEA" w:rsidRDefault="00624A92" w:rsidP="00624A92">
      <w:pPr>
        <w:spacing w:after="0" w:line="240" w:lineRule="auto"/>
        <w:jc w:val="both"/>
        <w:rPr>
          <w:i/>
          <w:sz w:val="24"/>
          <w:szCs w:val="24"/>
        </w:rPr>
      </w:pPr>
      <w:r w:rsidRPr="00C07DEA">
        <w:rPr>
          <w:i/>
          <w:sz w:val="24"/>
          <w:szCs w:val="24"/>
        </w:rPr>
        <w:t xml:space="preserve">(5) Možnost poskytnutí investiční podpory pro stejná zařízení nebyla vzata v úvahu při výpočtu sazeb zákona EEG 2014. Vzhledem k tomu, že sazby zákona EEG 2014 jsou již zavedeny, bude kontrola dodržování nového pravidla o kumulaci provedena na úrovni investiční podpory (a ne na úrovni provozní podpory v rámci zákona EEG- 2014). To znamená, že příslušné orgány odpovědné za poskytování dotčené investiční podpory, ať už v rámci režimu nebo jakožto individuální podpory, budou mít na starosti ověřit, že tato kumulace nepřekračuje míru příslušné podpory a zároveň nemá za následek překompenzaci u daných výroben elektřiny. V souladu s tím budou informovány prostřednictvím administrativního oznámení. V případě režimů investičních podpor to platí pro stávající režimy podpor i pro navrhování případných nových investičních podpor. </w:t>
      </w:r>
    </w:p>
    <w:p w14:paraId="5661A9CF" w14:textId="77777777" w:rsidR="00624A92" w:rsidRPr="00C07DEA" w:rsidRDefault="00624A92" w:rsidP="00624A92">
      <w:pPr>
        <w:spacing w:after="0" w:line="240" w:lineRule="auto"/>
        <w:jc w:val="both"/>
        <w:rPr>
          <w:i/>
          <w:sz w:val="24"/>
          <w:szCs w:val="24"/>
        </w:rPr>
      </w:pPr>
    </w:p>
    <w:p w14:paraId="7BBC526C" w14:textId="77777777" w:rsidR="00624A92" w:rsidRPr="00C07DEA" w:rsidRDefault="00624A92" w:rsidP="00624A92">
      <w:pPr>
        <w:pStyle w:val="Normlnweb"/>
        <w:spacing w:before="0" w:beforeAutospacing="0" w:after="0" w:afterAutospacing="0"/>
        <w:jc w:val="both"/>
        <w:rPr>
          <w:rFonts w:asciiTheme="minorHAnsi" w:hAnsiTheme="minorHAnsi"/>
          <w:i/>
        </w:rPr>
      </w:pPr>
      <w:r w:rsidRPr="00C07DEA">
        <w:rPr>
          <w:rFonts w:asciiTheme="minorHAnsi" w:hAnsiTheme="minorHAnsi"/>
          <w:i/>
        </w:rPr>
        <w:t xml:space="preserve">(13) Pokud jde o kumulaci pravidel pro investiční podpory a provozní podpory poskytnutých formou výkupních cen a příplatku k tržní ceně poskytnutého bez výběrového řízení, bod 128) </w:t>
      </w:r>
      <w:r w:rsidRPr="00C07DEA">
        <w:rPr>
          <w:rFonts w:asciiTheme="minorHAnsi" w:hAnsiTheme="minorHAnsi"/>
          <w:i/>
        </w:rPr>
        <w:lastRenderedPageBreak/>
        <w:t>EEAG čtený ve spojení s bodem 131) b) EEAG vyžadují, aby každá investiční podpora byla odečtena od celkové výše investice při výpočtu sdružené ceny energie (LCOE). Jelikož jsou sazby zákona EEG-2014 stanoveny bez přihlédnutí k možné investiční podpoře poskytnuté pro stejné zařízení, bude dodržování pravidel pro kumulaci provedeno na úrovni investiční podpory. V souladu s tím německé orgány prokázaly pomocí příkladů výpočtů pro jednotlivé obnovitelné technologie, že zařízení využívající provozní podporu v rámci zákona EEG 2014 mohou dostávat pouze investiční podporu, pokud tato podpora nevede k celkové výši podpory (včetně investiční i provozní podpory) větší, než je rozdíl mezi výrobními náklady (LCOE) a tržní cenou na jedné straně a mezi maximální povolenou mírou podpory podle EEAG nebo GBER, podle příslušnosti, pokud jde o investiční podporu. Německo také potvrdilo, že stejná metodika bude použitelná pro zařízení na důlní plyn, která jsou v souladu s § 3.2.5.2. EEAG. Německé orgány tak dostatečně prokázaly, že kumulace provozní a investiční podpory pro stejné způsobilé náklady výroben elektřiny z obnovitelných zdrojů nebude mít za následek překompenzaci nebo překročení stropů pro intenzitu podpory, za podmínek vhodné kontroly shody ze strany orgánů, poskytujících investiční podporu. Proto se nemění předchozí závěr Komise (v rozhodnutí SA.38632), pokud jde o přiměřenost podpory. (SA.40912 (N/2015)).</w:t>
      </w:r>
    </w:p>
    <w:p w14:paraId="02B2EC7A" w14:textId="77777777" w:rsidR="00624A92" w:rsidRPr="00C07DEA" w:rsidRDefault="00624A92" w:rsidP="00624A92">
      <w:pPr>
        <w:pStyle w:val="Normlnweb"/>
        <w:spacing w:before="0" w:beforeAutospacing="0" w:after="0" w:afterAutospacing="0"/>
        <w:jc w:val="both"/>
        <w:rPr>
          <w:rFonts w:asciiTheme="minorHAnsi" w:hAnsiTheme="minorHAnsi"/>
          <w:i/>
        </w:rPr>
      </w:pPr>
    </w:p>
    <w:p w14:paraId="2526C5E2" w14:textId="77777777" w:rsidR="00624A92" w:rsidRPr="00C07DEA" w:rsidRDefault="00624A92" w:rsidP="00624A92">
      <w:pPr>
        <w:pStyle w:val="Odstavecseseznamem"/>
        <w:spacing w:after="0"/>
        <w:ind w:left="0"/>
        <w:jc w:val="both"/>
        <w:rPr>
          <w:b/>
          <w:sz w:val="24"/>
          <w:szCs w:val="24"/>
          <w:highlight w:val="yellow"/>
        </w:rPr>
      </w:pPr>
    </w:p>
    <w:p w14:paraId="5B824678" w14:textId="77777777" w:rsidR="00624A92" w:rsidRPr="00D06AC6" w:rsidRDefault="00624A92" w:rsidP="00624A92">
      <w:pPr>
        <w:pStyle w:val="Odstavecseseznamem"/>
        <w:spacing w:after="0"/>
        <w:ind w:left="0"/>
        <w:jc w:val="both"/>
        <w:rPr>
          <w:b/>
          <w:sz w:val="24"/>
          <w:szCs w:val="24"/>
          <w:u w:val="single"/>
        </w:rPr>
      </w:pPr>
      <w:r w:rsidRPr="00D06AC6">
        <w:rPr>
          <w:b/>
          <w:sz w:val="24"/>
          <w:szCs w:val="24"/>
        </w:rPr>
        <w:t xml:space="preserve">6.    </w:t>
      </w:r>
      <w:r w:rsidRPr="00D06AC6">
        <w:rPr>
          <w:b/>
          <w:sz w:val="24"/>
          <w:szCs w:val="24"/>
          <w:u w:val="single"/>
        </w:rPr>
        <w:t>Polsko – SA. 37345 (2015/NN):</w:t>
      </w:r>
    </w:p>
    <w:p w14:paraId="2FD6527F" w14:textId="77777777" w:rsidR="00624A92" w:rsidRPr="00C07DEA" w:rsidRDefault="00624A92" w:rsidP="00624A92">
      <w:pPr>
        <w:pStyle w:val="Normlnweb"/>
        <w:spacing w:before="0" w:beforeAutospacing="0" w:after="0" w:afterAutospacing="0"/>
        <w:jc w:val="both"/>
        <w:rPr>
          <w:rFonts w:asciiTheme="minorHAnsi" w:hAnsiTheme="minorHAnsi"/>
        </w:rPr>
      </w:pPr>
    </w:p>
    <w:p w14:paraId="4C279100" w14:textId="77777777" w:rsidR="00624A92" w:rsidRPr="00C07DEA" w:rsidRDefault="00624A92" w:rsidP="00624A92">
      <w:pPr>
        <w:pStyle w:val="Normlnweb"/>
        <w:spacing w:before="0" w:beforeAutospacing="0" w:after="0" w:afterAutospacing="0"/>
        <w:jc w:val="both"/>
        <w:rPr>
          <w:rFonts w:asciiTheme="minorHAnsi" w:hAnsiTheme="minorHAnsi"/>
          <w:u w:val="single"/>
        </w:rPr>
      </w:pPr>
      <w:r w:rsidRPr="00C07DEA">
        <w:rPr>
          <w:rFonts w:asciiTheme="minorHAnsi" w:hAnsiTheme="minorHAnsi"/>
          <w:u w:val="single"/>
        </w:rPr>
        <w:t>Vymezené období:</w:t>
      </w:r>
    </w:p>
    <w:p w14:paraId="24F2960D" w14:textId="77777777" w:rsidR="00624A92" w:rsidRPr="00C07DEA" w:rsidRDefault="00624A92" w:rsidP="00624A92">
      <w:pPr>
        <w:pStyle w:val="Normlnweb"/>
        <w:spacing w:before="0" w:beforeAutospacing="0" w:after="0" w:afterAutospacing="0"/>
        <w:jc w:val="both"/>
        <w:rPr>
          <w:rFonts w:asciiTheme="minorHAnsi" w:hAnsiTheme="minorHAnsi"/>
          <w:u w:val="single"/>
        </w:rPr>
      </w:pPr>
    </w:p>
    <w:p w14:paraId="09733D87" w14:textId="77777777" w:rsidR="00624A92" w:rsidRPr="00C07DEA" w:rsidRDefault="00624A92" w:rsidP="00624A92">
      <w:pPr>
        <w:spacing w:after="0" w:line="240" w:lineRule="auto"/>
        <w:jc w:val="both"/>
        <w:rPr>
          <w:sz w:val="24"/>
          <w:szCs w:val="24"/>
          <w:u w:val="single"/>
        </w:rPr>
      </w:pPr>
      <w:r w:rsidRPr="00C07DEA">
        <w:rPr>
          <w:sz w:val="24"/>
          <w:szCs w:val="24"/>
        </w:rPr>
        <w:t>SA. 37345 (2015/NN): 1.10.2005-30.6.2016</w:t>
      </w:r>
    </w:p>
    <w:p w14:paraId="250C1E7D" w14:textId="77777777" w:rsidR="00624A92" w:rsidRPr="00C07DEA" w:rsidRDefault="00624A92" w:rsidP="00624A92">
      <w:pPr>
        <w:pStyle w:val="Normlnweb"/>
        <w:spacing w:before="0" w:beforeAutospacing="0" w:after="0" w:afterAutospacing="0"/>
        <w:jc w:val="both"/>
        <w:rPr>
          <w:rFonts w:asciiTheme="minorHAnsi" w:hAnsiTheme="minorHAnsi"/>
          <w:u w:val="single"/>
        </w:rPr>
      </w:pPr>
    </w:p>
    <w:p w14:paraId="5CFA6EF6" w14:textId="77777777" w:rsidR="00624A92" w:rsidRPr="00C07DEA" w:rsidRDefault="00624A92" w:rsidP="00624A92">
      <w:pPr>
        <w:pStyle w:val="Normlnweb"/>
        <w:spacing w:before="0" w:beforeAutospacing="0" w:after="0" w:afterAutospacing="0"/>
        <w:jc w:val="both"/>
        <w:rPr>
          <w:rFonts w:asciiTheme="minorHAnsi" w:hAnsiTheme="minorHAnsi"/>
          <w:u w:val="single"/>
        </w:rPr>
      </w:pPr>
      <w:r w:rsidRPr="00C07DEA">
        <w:rPr>
          <w:rFonts w:asciiTheme="minorHAnsi" w:hAnsiTheme="minorHAnsi"/>
          <w:u w:val="single"/>
        </w:rPr>
        <w:t>Překompenzace</w:t>
      </w:r>
    </w:p>
    <w:p w14:paraId="0E7FAD22" w14:textId="77777777" w:rsidR="00624A92" w:rsidRPr="00C07DEA" w:rsidRDefault="00624A92" w:rsidP="00624A92">
      <w:pPr>
        <w:pStyle w:val="Normlnweb"/>
        <w:spacing w:before="0" w:beforeAutospacing="0" w:after="0" w:afterAutospacing="0"/>
        <w:jc w:val="both"/>
        <w:rPr>
          <w:rFonts w:asciiTheme="minorHAnsi" w:hAnsiTheme="minorHAnsi"/>
        </w:rPr>
      </w:pPr>
    </w:p>
    <w:p w14:paraId="5321BC0E" w14:textId="77777777" w:rsidR="00624A92" w:rsidRPr="00C07DEA" w:rsidRDefault="00624A92" w:rsidP="00624A92">
      <w:pPr>
        <w:spacing w:after="0" w:line="240" w:lineRule="auto"/>
        <w:jc w:val="both"/>
        <w:rPr>
          <w:i/>
          <w:sz w:val="24"/>
          <w:szCs w:val="24"/>
        </w:rPr>
      </w:pPr>
      <w:r w:rsidRPr="00C07DEA">
        <w:rPr>
          <w:i/>
          <w:sz w:val="24"/>
          <w:szCs w:val="24"/>
        </w:rPr>
        <w:t>(111) Polské orgány tvrdí, že k žádné překompenzaci nedošlo, pokud jde o vodní elektrárny.</w:t>
      </w:r>
    </w:p>
    <w:p w14:paraId="50384299" w14:textId="77777777" w:rsidR="00624A92" w:rsidRPr="00C07DEA" w:rsidRDefault="00624A92" w:rsidP="00624A92">
      <w:pPr>
        <w:spacing w:after="0" w:line="240" w:lineRule="auto"/>
        <w:jc w:val="both"/>
        <w:rPr>
          <w:i/>
          <w:sz w:val="24"/>
          <w:szCs w:val="24"/>
        </w:rPr>
      </w:pPr>
    </w:p>
    <w:p w14:paraId="195FB56F" w14:textId="77777777" w:rsidR="00624A92" w:rsidRPr="00C07DEA" w:rsidRDefault="00624A92" w:rsidP="00624A92">
      <w:pPr>
        <w:spacing w:after="0" w:line="240" w:lineRule="auto"/>
        <w:jc w:val="both"/>
        <w:rPr>
          <w:i/>
          <w:sz w:val="24"/>
          <w:szCs w:val="24"/>
        </w:rPr>
      </w:pPr>
      <w:r w:rsidRPr="00C07DEA">
        <w:rPr>
          <w:i/>
          <w:sz w:val="24"/>
          <w:szCs w:val="24"/>
        </w:rPr>
        <w:t>(120) Polské orgány tvrdí, že nedošlo k žádné překompenzaci, pokud jde o elektrárny na spoluspalování. Tvrdí, že elektrárny, zejména na hnědé uhlí, dosáhly nižších tržeb z prodeje elektrické energie, než je tržní průměr.</w:t>
      </w:r>
    </w:p>
    <w:p w14:paraId="07C0329A" w14:textId="77777777" w:rsidR="00624A92" w:rsidRPr="00C07DEA" w:rsidRDefault="00624A92" w:rsidP="00624A92">
      <w:pPr>
        <w:spacing w:after="0" w:line="240" w:lineRule="auto"/>
        <w:jc w:val="both"/>
        <w:rPr>
          <w:i/>
          <w:sz w:val="24"/>
          <w:szCs w:val="24"/>
        </w:rPr>
      </w:pPr>
    </w:p>
    <w:p w14:paraId="7361F829" w14:textId="77777777" w:rsidR="00624A92" w:rsidRPr="00C07DEA" w:rsidRDefault="00624A92" w:rsidP="00624A92">
      <w:pPr>
        <w:spacing w:after="0" w:line="240" w:lineRule="auto"/>
        <w:jc w:val="both"/>
        <w:rPr>
          <w:i/>
          <w:sz w:val="24"/>
          <w:szCs w:val="24"/>
        </w:rPr>
      </w:pPr>
      <w:r w:rsidRPr="00C07DEA">
        <w:rPr>
          <w:i/>
          <w:sz w:val="24"/>
          <w:szCs w:val="24"/>
        </w:rPr>
        <w:t>(121) Polské orgány tvrdí, že nedošlo k žádné překompenzaci, pokud jde o elektrárny KVET na spoluspalování. Poskytly výpočty, beroucí v úvahu příjmy z tepla a z prodeje kogeneračních certifikátů, rozdělené do skupin typických výrobních jednotek v Polsku. Skupina KVET 1 sestává ze závodů, které jsou v druhé polovině svého životního cyklu (starší 30 let), zatímco skupina KVET 2 sestává ze závodů mladších než 30 let. Průměrné náklady pro rok 2012 jsou ve všech skupinách vyšší než celkové příjmy z elektřiny a osvědčení o původu, které činily [420 - 480] PLN / MWh. Výpočty byly provedeny v roce 2012, kdy byly od tohoto roku k dispozici všechny údaje a byl to nejpříznivější rok pro výrobny KVET z hlediska výnosů (žádné certifikáty KVET nemohly být prodány za rok 2013 a jen částečně za rok 2014).</w:t>
      </w:r>
    </w:p>
    <w:p w14:paraId="107A4245" w14:textId="77777777" w:rsidR="00624A92" w:rsidRPr="00C07DEA" w:rsidRDefault="00624A92" w:rsidP="00624A92">
      <w:pPr>
        <w:spacing w:after="0" w:line="240" w:lineRule="auto"/>
        <w:jc w:val="both"/>
        <w:rPr>
          <w:i/>
          <w:sz w:val="24"/>
          <w:szCs w:val="24"/>
        </w:rPr>
      </w:pPr>
    </w:p>
    <w:p w14:paraId="3D4D10D5" w14:textId="77777777" w:rsidR="00624A92" w:rsidRPr="00C07DEA" w:rsidRDefault="00624A92" w:rsidP="00624A92">
      <w:pPr>
        <w:spacing w:after="0" w:line="240" w:lineRule="auto"/>
        <w:jc w:val="both"/>
        <w:rPr>
          <w:i/>
          <w:sz w:val="24"/>
          <w:szCs w:val="24"/>
        </w:rPr>
      </w:pPr>
      <w:r w:rsidRPr="00C07DEA">
        <w:rPr>
          <w:i/>
          <w:sz w:val="24"/>
          <w:szCs w:val="24"/>
        </w:rPr>
        <w:t>(127) Podle polských orgánů kumulace podpory vycházející z faktu udělení více než jednoho typu certifikátu za jednotku elektřiny nevede a nemůže vést k překompenzaci, jelikož režim CO (certificate of origin – osvědčení původu) podporuje dodatečné náklady vyplývající z výroby energie z OZE, zatímco režim podpory KVET kryje dodatečné náklady spojené s kombinovanou výrobou elektřiny a tepla.</w:t>
      </w:r>
    </w:p>
    <w:p w14:paraId="508B84F5" w14:textId="77777777" w:rsidR="00624A92" w:rsidRPr="00C07DEA" w:rsidRDefault="00624A92" w:rsidP="00624A92">
      <w:pPr>
        <w:spacing w:after="0" w:line="240" w:lineRule="auto"/>
        <w:jc w:val="both"/>
        <w:rPr>
          <w:i/>
          <w:sz w:val="24"/>
          <w:szCs w:val="24"/>
        </w:rPr>
      </w:pPr>
    </w:p>
    <w:p w14:paraId="13789315" w14:textId="77777777" w:rsidR="00624A92" w:rsidRPr="00C07DEA" w:rsidRDefault="00624A92" w:rsidP="00624A92">
      <w:pPr>
        <w:spacing w:after="0" w:line="240" w:lineRule="auto"/>
        <w:jc w:val="both"/>
        <w:rPr>
          <w:i/>
          <w:sz w:val="24"/>
          <w:szCs w:val="24"/>
        </w:rPr>
      </w:pPr>
      <w:r w:rsidRPr="00C07DEA">
        <w:rPr>
          <w:i/>
          <w:sz w:val="24"/>
          <w:szCs w:val="24"/>
        </w:rPr>
        <w:t>(132) Pokud jde o kumulaci certifikátů s investiční podporou, polské orgány tvrdí, že to skutečně je možné a stalo se to, ale nevedlo to k překompenzaci. Investiční podpora byla poskytnuta na základě nařízení Komise (ES) 800/2008 ze dne 6. srpna 2008, prohlašujícího určité kategorie podpory za slučitelné se společným trhem při použití článků 87 a 88 Smlouvy o ES a v souladu s výší podpor v něm uložených. Polské orgány předložily tabulky s podrobnými výpočty, které dokládají kumulaci různých forem podpory, aby prokázaly, že v souhrnu nedošlo k překompenzaci. Polské orgány také předložily konkrétní údaje, týkající se konkrétních příkladů.</w:t>
      </w:r>
    </w:p>
    <w:p w14:paraId="13AF4B92" w14:textId="77777777" w:rsidR="00624A92" w:rsidRPr="00C07DEA" w:rsidRDefault="00624A92" w:rsidP="00624A92">
      <w:pPr>
        <w:spacing w:after="0" w:line="240" w:lineRule="auto"/>
        <w:jc w:val="both"/>
        <w:rPr>
          <w:i/>
          <w:sz w:val="24"/>
          <w:szCs w:val="24"/>
        </w:rPr>
      </w:pPr>
    </w:p>
    <w:p w14:paraId="46F2E9B2" w14:textId="77777777" w:rsidR="00624A92" w:rsidRPr="00C07DEA" w:rsidRDefault="00624A92" w:rsidP="00624A92">
      <w:pPr>
        <w:spacing w:after="0" w:line="240" w:lineRule="auto"/>
        <w:jc w:val="both"/>
        <w:rPr>
          <w:i/>
          <w:sz w:val="24"/>
          <w:szCs w:val="24"/>
        </w:rPr>
      </w:pPr>
      <w:r w:rsidRPr="00C07DEA">
        <w:rPr>
          <w:i/>
          <w:sz w:val="24"/>
          <w:szCs w:val="24"/>
        </w:rPr>
        <w:t>(185) Polsko tvrdí, že podpora je nezbytně nutná k zajištění životaschopnosti daných OZE, protože náklady na výrobu elektrické energie z OZE jsou značně vyšší než tržní cena elektřiny, a celkově nevedou k překompenzaci pro obnovitelné zdroje energie. Zejména co se týče vodních elektráren a zařízení na spoluspalování, Polsko předložilo rozsáhlé informace o tom, že systém podpory nevede v souhrnu k překompenzaci. Údaje byly také prezentovány, pokud jde o typické závody. Kromě toho Polsko uvedlo, že jelikož režim CO nezaručuje výši podpory, výrobci jsou motivováni ke zlepšení své účinnosti a konkurenceschopnosti, aby se předešlo případným problémům během období snižování hodnoty osvědčení o původu (jako např. nutnost zastavit výrobu energie a bankroty).</w:t>
      </w:r>
    </w:p>
    <w:p w14:paraId="6FFC1A58" w14:textId="77777777" w:rsidR="00624A92" w:rsidRPr="00C07DEA" w:rsidRDefault="00624A92" w:rsidP="00624A92">
      <w:pPr>
        <w:spacing w:after="0" w:line="240" w:lineRule="auto"/>
        <w:jc w:val="both"/>
        <w:rPr>
          <w:i/>
          <w:sz w:val="24"/>
          <w:szCs w:val="24"/>
        </w:rPr>
      </w:pPr>
    </w:p>
    <w:p w14:paraId="358B8327" w14:textId="77777777" w:rsidR="00624A92" w:rsidRPr="00C07DEA" w:rsidRDefault="00624A92" w:rsidP="00624A92">
      <w:pPr>
        <w:spacing w:after="0" w:line="240" w:lineRule="auto"/>
        <w:jc w:val="both"/>
        <w:rPr>
          <w:i/>
          <w:sz w:val="24"/>
          <w:szCs w:val="24"/>
        </w:rPr>
      </w:pPr>
      <w:r w:rsidRPr="00C07DEA">
        <w:rPr>
          <w:i/>
          <w:sz w:val="24"/>
          <w:szCs w:val="24"/>
        </w:rPr>
        <w:t>(190) Výpočty LCOE předložené polskými orgány, beroucí v úvahu reálné náklady na zařízení, jsou přesnější v hodnocení výnosnosti takových závodů a celkové nepřítomnosti překompenzace. Polsko vysvětlilo a odůvodnilo všechny prvky nákladů zakalkulovaných do výpočtu LCOE: provozní náklady (fixní a variabilní), investiční náklady (u stávajících vodních elektráren a zařízení na spoluspalování investiční náklady spojené s rekonstrukcemi a modernizací zařízení, kde to spadá v úvahu; v případě spoluspalování byly tyto náklady proporcionálně rozděleny mezi elektřinu vyrobenou z biomasy a elektřinu z fosilních paliv). Polsko rovněž poskytlo podrobné informace o metodice pro odhad investičních nákladů a metodice použité k výpočtu roční amortizace. Na žádost Komise Polsko předložilo podrobné výpočty pro vodní elektrárny a zařízení na spoluspalování, stejně jako příklady typických hydroelektráren a zařízení na spoluspalování.</w:t>
      </w:r>
    </w:p>
    <w:p w14:paraId="44333946" w14:textId="77777777" w:rsidR="00624A92" w:rsidRPr="00C07DEA" w:rsidRDefault="00624A92" w:rsidP="00624A92">
      <w:pPr>
        <w:spacing w:after="0" w:line="240" w:lineRule="auto"/>
        <w:jc w:val="both"/>
        <w:rPr>
          <w:i/>
          <w:sz w:val="24"/>
          <w:szCs w:val="24"/>
        </w:rPr>
      </w:pPr>
    </w:p>
    <w:p w14:paraId="7C28FE8E" w14:textId="77777777" w:rsidR="00624A92" w:rsidRPr="00C07DEA" w:rsidRDefault="00624A92" w:rsidP="00624A92">
      <w:pPr>
        <w:spacing w:after="0" w:line="240" w:lineRule="auto"/>
        <w:jc w:val="both"/>
        <w:rPr>
          <w:i/>
          <w:sz w:val="24"/>
          <w:szCs w:val="24"/>
        </w:rPr>
      </w:pPr>
      <w:r w:rsidRPr="00C07DEA">
        <w:rPr>
          <w:i/>
          <w:sz w:val="24"/>
          <w:szCs w:val="24"/>
        </w:rPr>
        <w:t>(191) Pro období 2005-2008 informace předložené Polskem ukazují, že nedošlo k překompenzaci, jelikož LCOE (včetně 8 % míry návratnosti) byla vyšší než příjmy získané příjemci podpory z prodeje elektřiny a osvědčení o původu na trhu. Ve skutečnosti příjemci obdrželi přiměřenou míru návratnosti mezi 5,43 % a 7,46 %, což je nižší než míra návratnosti získaná elektrárnami využívajícími černého a hnědého uhlí (mezi 7,93 % a 8 %).</w:t>
      </w:r>
    </w:p>
    <w:p w14:paraId="4BBA7C68" w14:textId="77777777" w:rsidR="00624A92" w:rsidRPr="00C07DEA" w:rsidRDefault="00624A92" w:rsidP="00624A92">
      <w:pPr>
        <w:spacing w:after="0" w:line="240" w:lineRule="auto"/>
        <w:jc w:val="both"/>
        <w:rPr>
          <w:i/>
          <w:sz w:val="24"/>
          <w:szCs w:val="24"/>
        </w:rPr>
      </w:pPr>
    </w:p>
    <w:p w14:paraId="4C436E22" w14:textId="77777777" w:rsidR="00624A92" w:rsidRPr="00C07DEA" w:rsidRDefault="00624A92" w:rsidP="00624A92">
      <w:pPr>
        <w:spacing w:after="0" w:line="240" w:lineRule="auto"/>
        <w:jc w:val="both"/>
        <w:rPr>
          <w:i/>
          <w:sz w:val="24"/>
          <w:szCs w:val="24"/>
        </w:rPr>
      </w:pPr>
      <w:r w:rsidRPr="00C07DEA">
        <w:rPr>
          <w:i/>
          <w:sz w:val="24"/>
          <w:szCs w:val="24"/>
        </w:rPr>
        <w:t xml:space="preserve">(192) Bod 74 EEAG z r. 2001 říká, že v případě kumulace podpory poskytované v rámci těchto pokynů s jinými formami podpory by neměla být překročena maximální intenzita podpory (nebo nejvýhodnější strop podpory) povolená pokyny. Komise konstatuje, že před rokem 2008 neexistovala žádná investiční podpora poskytnutá příjemcům. Podle informací poskytnutých Polskem byla investiční podpora poskytnuta po roce 2008 na základě nařízení Komise (ES) 800/2008 ze dne 6. srpna 2008, prohlašujícího určité kategorie podpory za slučitelné se společným trhem podle článků 87 a 88 Smlouvy o ES (viz bod 132). Kumulace s kogeneračními certifikáty byla možná, ale polské orgány to vzaly v úvahu při výpočtu LCOE v tabulce 1 a úroveň LCOE byla upravena odečtením hodnoty kogeneračních certifikátů, stejně jako tržeb </w:t>
      </w:r>
      <w:r w:rsidRPr="00C07DEA">
        <w:rPr>
          <w:i/>
          <w:sz w:val="24"/>
          <w:szCs w:val="24"/>
        </w:rPr>
        <w:lastRenderedPageBreak/>
        <w:t>za teplo. Vzhledem k výše uvedenému se Komise domnívá, že v období 2005-2008 nedošlo v souhrnu k překompenzaci.</w:t>
      </w:r>
    </w:p>
    <w:p w14:paraId="51E4EBB6" w14:textId="77777777" w:rsidR="00624A92" w:rsidRPr="00C07DEA" w:rsidRDefault="00624A92" w:rsidP="00624A92">
      <w:pPr>
        <w:spacing w:after="0" w:line="240" w:lineRule="auto"/>
        <w:jc w:val="both"/>
        <w:rPr>
          <w:i/>
          <w:sz w:val="24"/>
          <w:szCs w:val="24"/>
        </w:rPr>
      </w:pPr>
    </w:p>
    <w:p w14:paraId="56338B65" w14:textId="77777777" w:rsidR="00624A92" w:rsidRPr="00C07DEA" w:rsidRDefault="00624A92" w:rsidP="00624A92">
      <w:pPr>
        <w:spacing w:after="0" w:line="240" w:lineRule="auto"/>
        <w:jc w:val="both"/>
        <w:rPr>
          <w:i/>
          <w:sz w:val="24"/>
          <w:szCs w:val="24"/>
        </w:rPr>
      </w:pPr>
      <w:r w:rsidRPr="00C07DEA">
        <w:rPr>
          <w:i/>
          <w:sz w:val="24"/>
          <w:szCs w:val="24"/>
        </w:rPr>
        <w:t>(193) Polské orgány prokázaly, že kumulace osvědčení o původu s kogeneračními certifikáty nevedla v souhrnu k překompenzaci pro zařízení KVET na spoluspalování. To je také způsobeno tím, že osvědčení o původu slouží ke kompenzaci zvýšených nákladů na využívání biomasy, zatímco certifikáty KVET slouží ke kompenzaci zvýšených nákladů vzniklých z konkrétní technologie umožňující kombinovanou výrobu tepla a elektřiny. Polsko odečetlo výnosy z tepla a z kogeneračních certifikátů z výpočtu LCOE.</w:t>
      </w:r>
    </w:p>
    <w:p w14:paraId="12777936" w14:textId="77777777" w:rsidR="00624A92" w:rsidRPr="00C07DEA" w:rsidRDefault="00624A92" w:rsidP="00624A92">
      <w:pPr>
        <w:spacing w:after="0" w:line="240" w:lineRule="auto"/>
        <w:jc w:val="both"/>
        <w:rPr>
          <w:i/>
          <w:sz w:val="24"/>
          <w:szCs w:val="24"/>
        </w:rPr>
      </w:pPr>
    </w:p>
    <w:p w14:paraId="0C71C617" w14:textId="77777777" w:rsidR="00624A92" w:rsidRPr="00C07DEA" w:rsidRDefault="00624A92" w:rsidP="00624A92">
      <w:pPr>
        <w:spacing w:after="0" w:line="240" w:lineRule="auto"/>
        <w:jc w:val="both"/>
        <w:rPr>
          <w:i/>
          <w:sz w:val="24"/>
          <w:szCs w:val="24"/>
        </w:rPr>
      </w:pPr>
      <w:r w:rsidRPr="00C07DEA">
        <w:rPr>
          <w:i/>
          <w:sz w:val="24"/>
          <w:szCs w:val="24"/>
        </w:rPr>
        <w:t>(196) Stěžovatel dále uvádí, že podpora zařízení na spoluspalování nemá motivační účinek a vede k překompenzaci. Jak již bylo vysvětleno a ukázáno v tabulkách 3 a 4 výše, podpora nevedla k překompenzaci  pro zařízení na spoluspalování. Kromě toho polské orgány poskytly informace o tom, že v případě absence podpory by elektrárny zastavily pálení dražší biomasy, a tak by nevyráběly elektřinu z OZE.</w:t>
      </w:r>
    </w:p>
    <w:p w14:paraId="03C9200C" w14:textId="77777777" w:rsidR="00624A92" w:rsidRPr="00C07DEA" w:rsidRDefault="00624A92" w:rsidP="00624A92">
      <w:pPr>
        <w:spacing w:after="0" w:line="240" w:lineRule="auto"/>
        <w:jc w:val="both"/>
        <w:rPr>
          <w:i/>
          <w:sz w:val="24"/>
          <w:szCs w:val="24"/>
        </w:rPr>
      </w:pPr>
    </w:p>
    <w:p w14:paraId="55DF2EF8" w14:textId="77777777" w:rsidR="00624A92" w:rsidRPr="00C07DEA" w:rsidRDefault="00624A92" w:rsidP="00624A92">
      <w:pPr>
        <w:spacing w:after="0" w:line="240" w:lineRule="auto"/>
        <w:jc w:val="both"/>
        <w:rPr>
          <w:i/>
          <w:sz w:val="24"/>
          <w:szCs w:val="24"/>
        </w:rPr>
      </w:pPr>
      <w:r w:rsidRPr="00C07DEA">
        <w:rPr>
          <w:i/>
          <w:sz w:val="24"/>
          <w:szCs w:val="24"/>
        </w:rPr>
        <w:t>(198) Komise rovněž v této souvislosti upozorňuje, že pro biomasu představují provozní náklady velkou část celkových výrobních nákladů (avšak zůstávají pouze část výrobních nákladů). To znamená, že kolísání tržní ceny biomasy může mít významný dopad na ziskovost výrobců elektřiny z biomasy. Vzhledem k tomu, že biomasa představuje významnou část směsi obnovitelných zdrojů energie v Polsku (což představuje asi 50 % z celkových obnovitelných zdrojů elektřiny v Polsku v letech 2005 a 2013), kdyby měla cena biomasy poklesnout a vyvolat překompenzaci u výrobců elektřiny z biomasy, bylo by v souhrnu riziko překompenzace. Komise však poznamenává, že Polsko v minulosti zajistilo, aby podpora byla přiměřená (viz bod 192). Kromě toho se Polsko v roce 2015 rozhodlo upravit úroveň podpory zařízení na spoluspalování nespecializované biomasy zavedením korekčního faktoru 0,5. Polsko potvrdilo, že bude pokračovat v monitorování režimu podpory a že dále upraví podporu pro biomasu, bude-li to nutné, aby se vyhnulo překompenzaci.</w:t>
      </w:r>
    </w:p>
    <w:p w14:paraId="6E19CC4A" w14:textId="77777777" w:rsidR="00624A92" w:rsidRPr="00C07DEA" w:rsidRDefault="00624A92" w:rsidP="00624A92">
      <w:pPr>
        <w:spacing w:after="0" w:line="240" w:lineRule="auto"/>
        <w:jc w:val="both"/>
        <w:rPr>
          <w:i/>
          <w:sz w:val="24"/>
          <w:szCs w:val="24"/>
        </w:rPr>
      </w:pPr>
    </w:p>
    <w:p w14:paraId="6EBF17CF" w14:textId="77777777" w:rsidR="00624A92" w:rsidRPr="00C07DEA" w:rsidRDefault="00624A92" w:rsidP="00624A92">
      <w:pPr>
        <w:spacing w:after="0" w:line="240" w:lineRule="auto"/>
        <w:jc w:val="both"/>
        <w:rPr>
          <w:i/>
          <w:sz w:val="24"/>
          <w:szCs w:val="24"/>
        </w:rPr>
      </w:pPr>
      <w:r w:rsidRPr="00C07DEA">
        <w:rPr>
          <w:i/>
          <w:sz w:val="24"/>
          <w:szCs w:val="24"/>
        </w:rPr>
        <w:t>(201) Jak je uvedeno v oddíle 3.3.2., Komise se domnívá, že polský CO systém je nezbytný pro zajištění životaschopnosti výroby dotyčné energie z OZE, nevede v souhrnu k překompenzaci pro všechna zařízení OZE na výrobu elektřiny a neodrazuje výrobce energie z obnovitelných zdrojů od úsilí být konkurenceschopnější. Proto jsou dodrženy tyto požadavky, uvedené v bodě 110 EAG z r. 2008. Polsko rovněž poskytuje velmi detailní výpočty pro zařízení na spoluspalování a vodní elektrárny (u nichž Komise obdržela informace od třetích stran, které vyjadřují pochybnosti týkající se přiměřenosti podpory), což ukazuje, že k překompenzaci nedošlo u žádné z těchto technologií, ani když byly posuzovány samostatně.</w:t>
      </w:r>
    </w:p>
    <w:p w14:paraId="340153D1" w14:textId="77777777" w:rsidR="00624A92" w:rsidRPr="00C07DEA" w:rsidRDefault="00624A92" w:rsidP="00624A92">
      <w:pPr>
        <w:spacing w:after="0" w:line="240" w:lineRule="auto"/>
        <w:jc w:val="both"/>
        <w:rPr>
          <w:i/>
          <w:sz w:val="24"/>
          <w:szCs w:val="24"/>
        </w:rPr>
      </w:pPr>
    </w:p>
    <w:p w14:paraId="31F936E5" w14:textId="77777777" w:rsidR="00624A92" w:rsidRPr="00C07DEA" w:rsidRDefault="00624A92" w:rsidP="00624A92">
      <w:pPr>
        <w:spacing w:after="0" w:line="240" w:lineRule="auto"/>
        <w:jc w:val="both"/>
        <w:rPr>
          <w:i/>
          <w:sz w:val="24"/>
          <w:szCs w:val="24"/>
        </w:rPr>
      </w:pPr>
      <w:r w:rsidRPr="00C07DEA">
        <w:rPr>
          <w:i/>
          <w:sz w:val="24"/>
          <w:szCs w:val="24"/>
        </w:rPr>
        <w:t>(202) Kromě toho, Polsko prokázalo, že kumulace osvědčení o původu s investiční podporou, beroucí rovněž v úvahu i další certifikáty, které by příjemci mohli obdržet, nevedla k překompenzaci. Polsko poskytlo výpočty, aby prokázalo, že kumulace investiční podpory s jinou operativní podporou (v podobě různých kogeneračních certifikátů) po dobu 15 let, pro které je poskytnuta podpora ve formě osvědčení o původu, nevede k překompenzaci.</w:t>
      </w:r>
    </w:p>
    <w:p w14:paraId="40BBAAFC" w14:textId="77777777" w:rsidR="00624A92" w:rsidRPr="00C07DEA" w:rsidRDefault="00624A92" w:rsidP="00624A92">
      <w:pPr>
        <w:spacing w:after="0" w:line="240" w:lineRule="auto"/>
        <w:jc w:val="both"/>
        <w:rPr>
          <w:i/>
          <w:sz w:val="24"/>
          <w:szCs w:val="24"/>
        </w:rPr>
      </w:pPr>
    </w:p>
    <w:p w14:paraId="7A9B5D6F" w14:textId="77777777" w:rsidR="00624A92" w:rsidRPr="00C07DEA" w:rsidRDefault="00624A92" w:rsidP="00624A92">
      <w:pPr>
        <w:spacing w:after="0" w:line="240" w:lineRule="auto"/>
        <w:jc w:val="both"/>
        <w:rPr>
          <w:i/>
          <w:sz w:val="24"/>
          <w:szCs w:val="24"/>
        </w:rPr>
      </w:pPr>
      <w:r w:rsidRPr="00C07DEA">
        <w:rPr>
          <w:i/>
          <w:sz w:val="24"/>
          <w:szCs w:val="24"/>
        </w:rPr>
        <w:t xml:space="preserve">(203) Na základě aktualizovaných informací poskytnutých polskými orgány o odhadovaných nákladech a výnosech za celých 15 let trvání podpory, Komise porovnala celkové náklady a celkové výnosy u všech možných podpor, které by mohly být kumulovány (včetně investiční </w:t>
      </w:r>
      <w:r w:rsidRPr="00C07DEA">
        <w:rPr>
          <w:i/>
          <w:sz w:val="24"/>
          <w:szCs w:val="24"/>
        </w:rPr>
        <w:lastRenderedPageBreak/>
        <w:t>podpory, která byla udělena některým příjemcům po roce 2008). Pro všechny technologie převýšily výrobní náklady celkové výnosy (včetně podpory - investiční podpory a jiných forem provozní podpory, jmenovitě osvědčení KVET různých barev), což potvrzuje, že nedošlo k překompenzaci.</w:t>
      </w:r>
    </w:p>
    <w:p w14:paraId="355C6E00" w14:textId="77777777" w:rsidR="00624A92" w:rsidRPr="00C07DEA" w:rsidRDefault="00624A92" w:rsidP="00624A92">
      <w:pPr>
        <w:spacing w:after="0" w:line="240" w:lineRule="auto"/>
        <w:jc w:val="both"/>
        <w:rPr>
          <w:i/>
          <w:sz w:val="24"/>
          <w:szCs w:val="24"/>
        </w:rPr>
      </w:pPr>
    </w:p>
    <w:p w14:paraId="35F4C773" w14:textId="77777777" w:rsidR="00624A92" w:rsidRPr="00C07DEA" w:rsidRDefault="00624A92" w:rsidP="00624A92">
      <w:pPr>
        <w:spacing w:after="0" w:line="240" w:lineRule="auto"/>
        <w:jc w:val="both"/>
        <w:rPr>
          <w:i/>
          <w:sz w:val="24"/>
          <w:szCs w:val="24"/>
        </w:rPr>
      </w:pPr>
      <w:r w:rsidRPr="00C07DEA">
        <w:rPr>
          <w:i/>
          <w:sz w:val="24"/>
          <w:szCs w:val="24"/>
        </w:rPr>
        <w:t>(205) Jak je vysvětleno v bodě 190, Komise se domnívá, že výpočty LCOE předložené polskými orgány, zohledňující reálné náklady na zařízení, jsou přesnější než ty, jež jsou poskytované třetími stranami při posuzování ziskovosti příjemců a že nedošlo v souhrnu k překompenzaci. Pro vyloučení jakýchkoli pochybností si Komise vyžádala a Polsko poskytlo velmi podrobné výpočty, stejně jako konkrétní příklady typických zařízení. Komise nemá žádný důvod pochybovat o správnosti informací poskytnutých Polskem. Na základě těchto informací Komise provedla další výpočty (viz tabulka 7)</w:t>
      </w:r>
      <w:r w:rsidRPr="00C07DEA">
        <w:rPr>
          <w:i/>
          <w:sz w:val="24"/>
          <w:szCs w:val="24"/>
          <w:vertAlign w:val="superscript"/>
        </w:rPr>
        <w:t>+)</w:t>
      </w:r>
      <w:r w:rsidRPr="00C07DEA">
        <w:rPr>
          <w:i/>
          <w:sz w:val="24"/>
          <w:szCs w:val="24"/>
        </w:rPr>
        <w:t>, a je přesvědčena, že pravidla o kumulaci stanovená v oddíle 6 EAG z r. 2008 jsou dodržována.</w:t>
      </w:r>
    </w:p>
    <w:p w14:paraId="0A944B44" w14:textId="77777777" w:rsidR="00624A92" w:rsidRPr="00C07DEA" w:rsidRDefault="00624A92" w:rsidP="00624A92">
      <w:pPr>
        <w:spacing w:after="0" w:line="240" w:lineRule="auto"/>
        <w:jc w:val="both"/>
        <w:rPr>
          <w:i/>
          <w:sz w:val="24"/>
          <w:szCs w:val="24"/>
        </w:rPr>
      </w:pPr>
    </w:p>
    <w:p w14:paraId="761823ED" w14:textId="77777777" w:rsidR="00624A92" w:rsidRPr="00C07DEA" w:rsidRDefault="00624A92" w:rsidP="00624A92">
      <w:pPr>
        <w:spacing w:after="0" w:line="240" w:lineRule="auto"/>
        <w:jc w:val="both"/>
        <w:rPr>
          <w:i/>
          <w:sz w:val="24"/>
          <w:szCs w:val="24"/>
        </w:rPr>
      </w:pPr>
      <w:r w:rsidRPr="00C07DEA">
        <w:rPr>
          <w:i/>
          <w:sz w:val="24"/>
          <w:szCs w:val="24"/>
        </w:rPr>
        <w:t>(220) Jak je uvedeno v oddíle 3.3.2., Komise se domnívá, že polský CO systém je nezbytně nutný k zajištění životaschopnosti daných OZE, nevede v souhrnu k překompenzaci v čase a napříč technologiemi a neodrazuje výrobce energie z obnovitelných zdrojů od úsilí být konkurenceschopnější. Komise se proto domnívá, že požadavky bodu 136 EEAG jsou dodrženy. Komise konstatuje, že hodnocení je založeno na informacích týkajících se roku 2012. Za normálních okolností Komise by měla používat nejaktuálnější dostupná data (tj. za rok 2014). Nicméně, jak je vysvětleno v poznámce pod čarou 26, hlavní změnou v letech 2013 a 2014 byl pokles cen osvědčení o původu. Ostatní prvky (výrobní náklady a cena elektřiny), se změnily v podstatně menší míře. Z toho vyplývá, že vývoj cen osvědčení o původu významně snížil riziko překompenzace v letech 2013 a 2014. Z toho důvodu Komise souhlasí s polskými orgány, že analýza na základě údajů z roku 2012 zůstává nejdůležitější, protože absence překompenzace na základě těchto údajů by také znamenala, že nedošlo k překompenzaci v letech 2013 a 2014.</w:t>
      </w:r>
    </w:p>
    <w:p w14:paraId="17272C18" w14:textId="77777777" w:rsidR="00624A92" w:rsidRPr="00C07DEA" w:rsidRDefault="00624A92" w:rsidP="00624A92">
      <w:pPr>
        <w:spacing w:after="0" w:line="240" w:lineRule="auto"/>
        <w:jc w:val="both"/>
        <w:rPr>
          <w:i/>
          <w:sz w:val="24"/>
          <w:szCs w:val="24"/>
        </w:rPr>
      </w:pPr>
    </w:p>
    <w:p w14:paraId="54D344E6" w14:textId="77777777" w:rsidR="00624A92" w:rsidRPr="00C07DEA" w:rsidRDefault="00624A92" w:rsidP="00624A92">
      <w:pPr>
        <w:pStyle w:val="Normlnweb"/>
        <w:spacing w:before="0" w:beforeAutospacing="0" w:after="0" w:afterAutospacing="0"/>
        <w:jc w:val="both"/>
        <w:rPr>
          <w:rFonts w:asciiTheme="minorHAnsi" w:hAnsiTheme="minorHAnsi"/>
          <w:i/>
          <w:u w:val="single"/>
        </w:rPr>
      </w:pPr>
      <w:r w:rsidRPr="00C07DEA">
        <w:rPr>
          <w:rFonts w:asciiTheme="minorHAnsi" w:hAnsiTheme="minorHAnsi"/>
          <w:i/>
        </w:rPr>
        <w:t xml:space="preserve">(230) Jelikož Polsko mělo za to, že podpora poskytovaná prostřednictvím osvědčení o původu nepředstavuje podporu, nezavedlo žádná omezení týkající se kumulace s investiční podporou. Polsko nicméně předložilo Komisi podrobné informace o typech podpory, které byly k dispozici pro výrobce elektřiny z OZE a výsledky kumulace podpor. Polsko potvrdilo, že výnosy z osvědčení o původu byly vzaty v úvahu za účelem poskytnutí investiční podpory, takže investiční podpora byla upravena tak, aby se zabránilo překompenzaci vyplývající z takové kumulace. Údaje poskytnuté Polskem podporují tento závěr a ukazují, že kumulace provozní podpory ve formě osvědčení o původu s jinými formami pomoci (zejména investiční podpory), nevedla k překompenzaci. Z toho vyplývá, že jestli se investiční podpora odečte od investičních nákladů, zbývající náklady jsou dostatečným důvodem pro poskytnutí provozní podpory ve formě osvědčení o původu. </w:t>
      </w:r>
    </w:p>
    <w:p w14:paraId="4806FD87" w14:textId="77777777" w:rsidR="00624A92" w:rsidRPr="00C07DEA" w:rsidRDefault="00624A92" w:rsidP="00624A92">
      <w:pPr>
        <w:pStyle w:val="Normlnweb"/>
        <w:spacing w:before="0" w:beforeAutospacing="0" w:after="0" w:afterAutospacing="0"/>
        <w:jc w:val="both"/>
        <w:rPr>
          <w:rFonts w:asciiTheme="minorHAnsi" w:hAnsiTheme="minorHAnsi"/>
          <w:u w:val="single"/>
        </w:rPr>
      </w:pPr>
    </w:p>
    <w:p w14:paraId="4F38F2F1" w14:textId="77777777" w:rsidR="00624A92" w:rsidRPr="00C07DEA" w:rsidRDefault="00624A92" w:rsidP="00624A92">
      <w:pPr>
        <w:pStyle w:val="Normlnweb"/>
        <w:spacing w:before="0" w:beforeAutospacing="0" w:after="0" w:afterAutospacing="0"/>
        <w:jc w:val="both"/>
        <w:rPr>
          <w:rFonts w:asciiTheme="minorHAnsi" w:hAnsiTheme="minorHAnsi"/>
          <w:u w:val="single"/>
        </w:rPr>
      </w:pPr>
      <w:r w:rsidRPr="00C07DEA">
        <w:rPr>
          <w:rFonts w:asciiTheme="minorHAnsi" w:hAnsiTheme="minorHAnsi"/>
          <w:u w:val="single"/>
        </w:rPr>
        <w:t>Monitoring podpory:</w:t>
      </w:r>
    </w:p>
    <w:p w14:paraId="56CCEBA7" w14:textId="77777777" w:rsidR="00624A92" w:rsidRPr="00C07DEA" w:rsidRDefault="00624A92" w:rsidP="00624A92">
      <w:pPr>
        <w:pStyle w:val="Normlnweb"/>
        <w:spacing w:before="0" w:beforeAutospacing="0" w:after="0" w:afterAutospacing="0"/>
        <w:jc w:val="both"/>
        <w:rPr>
          <w:rFonts w:asciiTheme="minorHAnsi" w:hAnsiTheme="minorHAnsi"/>
        </w:rPr>
      </w:pPr>
    </w:p>
    <w:p w14:paraId="0E795949" w14:textId="463BC089" w:rsidR="00624A92" w:rsidRPr="00C07DEA" w:rsidRDefault="00624A92" w:rsidP="00624A92">
      <w:pPr>
        <w:spacing w:after="0" w:line="240" w:lineRule="auto"/>
        <w:jc w:val="both"/>
        <w:rPr>
          <w:i/>
          <w:sz w:val="24"/>
          <w:szCs w:val="24"/>
        </w:rPr>
      </w:pPr>
      <w:r w:rsidRPr="00C07DEA">
        <w:rPr>
          <w:i/>
          <w:sz w:val="24"/>
          <w:szCs w:val="24"/>
        </w:rPr>
        <w:t xml:space="preserve">(19) Polské orgány </w:t>
      </w:r>
      <w:r w:rsidR="004D668D" w:rsidRPr="00C07DEA">
        <w:rPr>
          <w:i/>
          <w:sz w:val="24"/>
          <w:szCs w:val="24"/>
        </w:rPr>
        <w:t xml:space="preserve">definovaly </w:t>
      </w:r>
      <w:r w:rsidRPr="00C07DEA">
        <w:rPr>
          <w:i/>
          <w:sz w:val="24"/>
          <w:szCs w:val="24"/>
        </w:rPr>
        <w:t>řadu subjektů, od nichž se požaduje koupě osvědčení o původu, čímž se vytvořila poptávka po certifikátech. Ministr hospodářství nastavuje úroveň povinnosti uvedené v Nařízení. Předseda [polského] ERÚ monitoruje, jestli byla splněna povinnost vykoupit certifikáty OZE. Příslušné subjekty jsou povinny:</w:t>
      </w:r>
    </w:p>
    <w:p w14:paraId="60630369" w14:textId="77777777" w:rsidR="00624A92" w:rsidRPr="00C07DEA" w:rsidRDefault="00624A92" w:rsidP="00624A92">
      <w:pPr>
        <w:spacing w:after="0" w:line="240" w:lineRule="auto"/>
        <w:jc w:val="both"/>
        <w:rPr>
          <w:i/>
          <w:sz w:val="24"/>
          <w:szCs w:val="24"/>
        </w:rPr>
      </w:pPr>
      <w:r w:rsidRPr="00C07DEA">
        <w:rPr>
          <w:i/>
          <w:sz w:val="24"/>
          <w:szCs w:val="24"/>
        </w:rPr>
        <w:t>•</w:t>
      </w:r>
      <w:r w:rsidRPr="00C07DEA">
        <w:rPr>
          <w:i/>
          <w:sz w:val="24"/>
          <w:szCs w:val="24"/>
        </w:rPr>
        <w:tab/>
        <w:t>získat určité množství certifikátů a prezentovat je k vyplacení předsedovi ERÚ, nebo</w:t>
      </w:r>
    </w:p>
    <w:p w14:paraId="5186AE55" w14:textId="77777777" w:rsidR="00624A92" w:rsidRPr="00C07DEA" w:rsidRDefault="00624A92" w:rsidP="00624A92">
      <w:pPr>
        <w:spacing w:after="0" w:line="240" w:lineRule="auto"/>
        <w:jc w:val="both"/>
        <w:rPr>
          <w:i/>
          <w:sz w:val="24"/>
          <w:szCs w:val="24"/>
        </w:rPr>
      </w:pPr>
      <w:r w:rsidRPr="00C07DEA">
        <w:rPr>
          <w:i/>
          <w:sz w:val="24"/>
          <w:szCs w:val="24"/>
        </w:rPr>
        <w:lastRenderedPageBreak/>
        <w:t>•</w:t>
      </w:r>
      <w:r w:rsidRPr="00C07DEA">
        <w:rPr>
          <w:i/>
          <w:sz w:val="24"/>
          <w:szCs w:val="24"/>
        </w:rPr>
        <w:tab/>
        <w:t>zaplatit kompenzační poplatek ke dni 31. března každého roku za předcházející kalendářní rok, na účet Národního fondu pro ochranu životního prostředí a vodního hospodářství, za každé osvědčení o původu, které byly nuceny kupovat, jež nemohou předložit předsedovi ERÚ. Hodnota kompenzačního poplatku je definována v polské legislativě. Původně byla stanovena na 240 PLN v roce 2005 a byla ročně indexována. Poplatek dosáhl PLN 300,03 v roce 2014.</w:t>
      </w:r>
    </w:p>
    <w:p w14:paraId="36DACEE4" w14:textId="77777777" w:rsidR="00624A92" w:rsidRPr="00C07DEA" w:rsidRDefault="00624A92" w:rsidP="00624A92">
      <w:pPr>
        <w:spacing w:after="0" w:line="240" w:lineRule="auto"/>
        <w:jc w:val="both"/>
        <w:rPr>
          <w:i/>
          <w:sz w:val="24"/>
          <w:szCs w:val="24"/>
        </w:rPr>
      </w:pPr>
    </w:p>
    <w:p w14:paraId="033FDCC5" w14:textId="77777777" w:rsidR="00624A92" w:rsidRPr="00C07DEA" w:rsidRDefault="00624A92" w:rsidP="00624A92">
      <w:pPr>
        <w:spacing w:after="0" w:line="240" w:lineRule="auto"/>
        <w:jc w:val="both"/>
        <w:rPr>
          <w:i/>
          <w:sz w:val="24"/>
          <w:szCs w:val="24"/>
        </w:rPr>
      </w:pPr>
      <w:r w:rsidRPr="00C07DEA">
        <w:rPr>
          <w:i/>
          <w:sz w:val="24"/>
          <w:szCs w:val="24"/>
        </w:rPr>
        <w:t>(23) Polské orgány tvrdí, že vydáním certifikátů OZE, jejich vykoupením, sledováním subjektů, na které se vztahuje povinnost certifikace (zejména monitorování, pokud byla splněna povinnost odkoupit certifikáty) a vyhlašováním výše vyrovnávacího poplatku předseda ERÚ nepřímo kontroluje a monitoruje systém certifikátů OZE.</w:t>
      </w:r>
    </w:p>
    <w:p w14:paraId="4405202C" w14:textId="77777777" w:rsidR="00624A92" w:rsidRPr="00C07DEA" w:rsidRDefault="00624A92" w:rsidP="00624A92">
      <w:pPr>
        <w:spacing w:after="0" w:line="240" w:lineRule="auto"/>
        <w:jc w:val="both"/>
        <w:rPr>
          <w:i/>
          <w:sz w:val="24"/>
          <w:szCs w:val="24"/>
        </w:rPr>
      </w:pPr>
      <w:r w:rsidRPr="00C07DEA">
        <w:rPr>
          <w:i/>
          <w:sz w:val="24"/>
          <w:szCs w:val="24"/>
        </w:rPr>
        <w:t xml:space="preserve"> </w:t>
      </w:r>
    </w:p>
    <w:p w14:paraId="13B01114" w14:textId="77777777" w:rsidR="00624A92" w:rsidRPr="00C07DEA" w:rsidRDefault="00624A92" w:rsidP="00624A92">
      <w:pPr>
        <w:spacing w:after="0" w:line="240" w:lineRule="auto"/>
        <w:jc w:val="both"/>
        <w:rPr>
          <w:i/>
          <w:sz w:val="24"/>
          <w:szCs w:val="24"/>
        </w:rPr>
      </w:pPr>
      <w:r w:rsidRPr="00C07DEA">
        <w:rPr>
          <w:i/>
          <w:sz w:val="24"/>
          <w:szCs w:val="24"/>
        </w:rPr>
        <w:t>(155) Distribuční nebo přenosoví operátoři certifikují výrobce elektřiny z OZE, pokud jde o množství elektřiny vyrobené. Předseda ERÚ vydává a vykupuje osvědčení o původu, sleduje, byla-li splněna povinná kvóta povinnými subjekty a stanoví výši vyrovnávacího poplatku.</w:t>
      </w:r>
    </w:p>
    <w:p w14:paraId="648BF59E" w14:textId="77777777" w:rsidR="00624A92" w:rsidRPr="00C07DEA" w:rsidRDefault="00624A92" w:rsidP="00624A92">
      <w:pPr>
        <w:spacing w:after="0" w:line="240" w:lineRule="auto"/>
        <w:jc w:val="both"/>
        <w:rPr>
          <w:i/>
          <w:sz w:val="24"/>
          <w:szCs w:val="24"/>
        </w:rPr>
      </w:pPr>
    </w:p>
    <w:p w14:paraId="685AA7EE" w14:textId="77777777" w:rsidR="00624A92" w:rsidRPr="00C07DEA" w:rsidRDefault="00624A92" w:rsidP="00624A92">
      <w:pPr>
        <w:spacing w:after="0" w:line="240" w:lineRule="auto"/>
        <w:jc w:val="both"/>
        <w:rPr>
          <w:i/>
          <w:sz w:val="24"/>
          <w:szCs w:val="24"/>
        </w:rPr>
      </w:pPr>
      <w:r w:rsidRPr="00C07DEA">
        <w:rPr>
          <w:i/>
          <w:sz w:val="24"/>
          <w:szCs w:val="24"/>
        </w:rPr>
        <w:t>(160) Na základě výše uvedených skutečností se Komise domnívá, že odpovědné strany spravují finanční prostředky generované osvědčeními o původu a že předseda ERÚ kontroluje a monitoruje finanční prostředky generované osvědčeními o původu vydáváním osvědčení o původu, odkupem, monitorováním subjektů, na něž se vztahují certifikační požadavky (zejména monitorování, byla-li splněna povinnost odkoupit certifikáty) a vyhlašováním výše vyrovnávacího poplatku.</w:t>
      </w:r>
    </w:p>
    <w:p w14:paraId="78E94720" w14:textId="77777777" w:rsidR="00624A92" w:rsidRPr="00C07DEA" w:rsidRDefault="00624A92" w:rsidP="00624A92">
      <w:pPr>
        <w:spacing w:after="0" w:line="240" w:lineRule="auto"/>
        <w:jc w:val="both"/>
        <w:rPr>
          <w:i/>
          <w:sz w:val="24"/>
          <w:szCs w:val="24"/>
        </w:rPr>
      </w:pPr>
      <w:r w:rsidRPr="00C07DEA">
        <w:rPr>
          <w:i/>
          <w:sz w:val="24"/>
          <w:szCs w:val="24"/>
        </w:rPr>
        <w:t xml:space="preserve"> </w:t>
      </w:r>
    </w:p>
    <w:p w14:paraId="285A8585" w14:textId="77777777" w:rsidR="00624A92" w:rsidRPr="00C07DEA" w:rsidRDefault="00624A92" w:rsidP="00624A92">
      <w:pPr>
        <w:spacing w:after="0" w:line="240" w:lineRule="auto"/>
        <w:jc w:val="both"/>
        <w:rPr>
          <w:i/>
          <w:sz w:val="24"/>
          <w:szCs w:val="24"/>
        </w:rPr>
      </w:pPr>
      <w:r w:rsidRPr="00C07DEA">
        <w:rPr>
          <w:i/>
          <w:sz w:val="24"/>
          <w:szCs w:val="24"/>
        </w:rPr>
        <w:t>(173) Redukované financování OZE pro EIU (energeticky náročné uživatele) lze přisoudit státu, jak je stanoveno zákonem. Kromě toho je to stát (prostřednictvím předsedy ERÚ a ministra hospodářství), který uděluje oprávnění pro EIU a sleduje jejich správné provádění.</w:t>
      </w:r>
    </w:p>
    <w:p w14:paraId="33C11290" w14:textId="77777777" w:rsidR="00624A92" w:rsidRPr="00C07DEA" w:rsidRDefault="00624A92" w:rsidP="00624A92">
      <w:pPr>
        <w:spacing w:after="0" w:line="240" w:lineRule="auto"/>
        <w:jc w:val="both"/>
        <w:rPr>
          <w:i/>
          <w:sz w:val="24"/>
          <w:szCs w:val="24"/>
        </w:rPr>
      </w:pPr>
    </w:p>
    <w:p w14:paraId="10F1F096" w14:textId="77777777" w:rsidR="00624A92" w:rsidRPr="00C07DEA" w:rsidRDefault="00624A92" w:rsidP="00624A92">
      <w:pPr>
        <w:spacing w:after="0" w:line="240" w:lineRule="auto"/>
        <w:jc w:val="both"/>
        <w:rPr>
          <w:i/>
          <w:sz w:val="24"/>
          <w:szCs w:val="24"/>
        </w:rPr>
      </w:pPr>
      <w:r w:rsidRPr="00C07DEA">
        <w:rPr>
          <w:i/>
          <w:sz w:val="24"/>
          <w:szCs w:val="24"/>
        </w:rPr>
        <w:t>(198) Komise rovněž v této souvislosti upozorňuje, že pro biomasu představují provozní náklady velkou část celkových výrobních nákladů (avšak zůstávají pouze částí výrobních nákladů). To znamená, že kolísání tržní ceny biomasy může mít významný dopad na ziskovost výrobců elektřiny z biomasy. Vzhledem k tomu, že biomasa představuje významnou část směsi obnovitelných zdrojů energie v Polsku (představuje asi 50 % z celkových obnovitelných zdrojů elektřiny v Polsku v letech 2005 a 2013), kdyby měla cena biomasy poklesnout a vyvolat překompenzaci u výrobců elektřiny z biomasy, bylo by v souhrnu riziko překompenzace. Komise však poznamenává, že Polsko v minulosti zajistilo, aby podpora byla přiměřená (viz bod 192). Kromě toho se Polsko v roce 2015 rozhodlo upravit úroveň podpory zařízení na spoluspalování nespecializované biomasy zavedením korekčního faktoru 0,5. Polsko potvrdilo, že bude pokračovat v monitorování režimu podpory a že dále upraví podporu pro biomasu, bude-li to nutné, aby se vyhnulo překompenzaci.</w:t>
      </w:r>
    </w:p>
    <w:p w14:paraId="2CA76EE7" w14:textId="77777777" w:rsidR="00624A92" w:rsidRPr="00C07DEA" w:rsidRDefault="00624A92" w:rsidP="00624A92">
      <w:pPr>
        <w:pStyle w:val="Normlnweb"/>
        <w:spacing w:before="0" w:beforeAutospacing="0" w:after="0" w:afterAutospacing="0"/>
        <w:jc w:val="both"/>
        <w:rPr>
          <w:rFonts w:asciiTheme="minorHAnsi" w:hAnsiTheme="minorHAnsi"/>
          <w:i/>
        </w:rPr>
      </w:pPr>
    </w:p>
    <w:p w14:paraId="2E56678A" w14:textId="77777777" w:rsidR="00624A92" w:rsidRPr="00C07DEA" w:rsidRDefault="00624A92" w:rsidP="00624A92">
      <w:pPr>
        <w:pStyle w:val="Normlnweb"/>
        <w:spacing w:before="0" w:beforeAutospacing="0" w:after="0" w:afterAutospacing="0"/>
        <w:jc w:val="both"/>
        <w:rPr>
          <w:rFonts w:asciiTheme="minorHAnsi" w:hAnsiTheme="minorHAnsi"/>
          <w:i/>
          <w:u w:val="single"/>
        </w:rPr>
      </w:pPr>
      <w:r w:rsidRPr="00C07DEA">
        <w:rPr>
          <w:rFonts w:asciiTheme="minorHAnsi" w:hAnsiTheme="minorHAnsi"/>
          <w:i/>
        </w:rPr>
        <w:t xml:space="preserve">(229) Komise v zásadě dává přednost trhu nejbližšímu reálnému času pro sledování záporných cen, jelikož k záporným cenám může s největší pravděpodobností docházet v krátké době vzhledem k okolnostem, které je obtížné předvídat (např. náhlé a neočekávané zesílení větru). Nicméně, v Polsku funguje vnitrodenní trh pouze mezi 8:00 a 15:30 hod. (tedy nefunguje v nočních hodinách, kdy je vyšší riziko negativních cen), a kdy jsou stanovené minimální cenové limity pro vyrovnávání trh (70 PLN/MWh). Pokud by Polsko v budoucnu změnilo svoji koncepci trhu s elektřinou, Komise doporučuje, aby znovu zvážilo odkaz na </w:t>
      </w:r>
      <w:r w:rsidRPr="00C07DEA">
        <w:rPr>
          <w:rFonts w:asciiTheme="minorHAnsi" w:hAnsiTheme="minorHAnsi"/>
          <w:i/>
        </w:rPr>
        <w:lastRenderedPageBreak/>
        <w:t>záporné ceny a v maximální možné míře byl použit trh nejbližší reálnému času pro sledování negativních cen.</w:t>
      </w:r>
    </w:p>
    <w:p w14:paraId="43CEE7E2" w14:textId="77777777" w:rsidR="00624A92" w:rsidRPr="00C07DEA" w:rsidRDefault="00624A92" w:rsidP="00624A92">
      <w:pPr>
        <w:pStyle w:val="Normlnweb"/>
        <w:spacing w:before="0" w:beforeAutospacing="0" w:after="0" w:afterAutospacing="0"/>
        <w:jc w:val="both"/>
        <w:rPr>
          <w:rFonts w:asciiTheme="minorHAnsi" w:hAnsiTheme="minorHAnsi"/>
          <w:u w:val="single"/>
        </w:rPr>
      </w:pPr>
    </w:p>
    <w:p w14:paraId="73A29F44" w14:textId="77777777" w:rsidR="00624A92" w:rsidRPr="00C07DEA" w:rsidRDefault="00624A92" w:rsidP="00624A92">
      <w:pPr>
        <w:pStyle w:val="Normlnweb"/>
        <w:spacing w:before="0" w:beforeAutospacing="0" w:after="0" w:afterAutospacing="0"/>
        <w:jc w:val="both"/>
        <w:rPr>
          <w:rFonts w:asciiTheme="minorHAnsi" w:hAnsiTheme="minorHAnsi"/>
          <w:u w:val="single"/>
        </w:rPr>
      </w:pPr>
      <w:r w:rsidRPr="00C07DEA">
        <w:rPr>
          <w:rFonts w:asciiTheme="minorHAnsi" w:hAnsiTheme="minorHAnsi"/>
          <w:u w:val="single"/>
        </w:rPr>
        <w:t>Hodnoty IRR:</w:t>
      </w:r>
    </w:p>
    <w:p w14:paraId="40C4EF8F" w14:textId="77777777" w:rsidR="00624A92" w:rsidRPr="00C07DEA" w:rsidRDefault="00624A92" w:rsidP="00624A92">
      <w:pPr>
        <w:pStyle w:val="Normlnweb"/>
        <w:spacing w:before="0" w:beforeAutospacing="0" w:after="0" w:afterAutospacing="0"/>
        <w:jc w:val="both"/>
        <w:rPr>
          <w:rFonts w:asciiTheme="minorHAnsi" w:hAnsiTheme="minorHAnsi"/>
          <w:u w:val="single"/>
        </w:rPr>
      </w:pPr>
    </w:p>
    <w:p w14:paraId="5E272487" w14:textId="3B3E6534" w:rsidR="00624A92" w:rsidRPr="00C07DEA" w:rsidRDefault="00624A92" w:rsidP="00624A92">
      <w:pPr>
        <w:spacing w:after="0" w:line="240" w:lineRule="auto"/>
        <w:jc w:val="both"/>
        <w:rPr>
          <w:i/>
          <w:sz w:val="24"/>
          <w:szCs w:val="24"/>
        </w:rPr>
      </w:pPr>
      <w:r w:rsidRPr="00C07DEA">
        <w:rPr>
          <w:i/>
          <w:sz w:val="24"/>
          <w:szCs w:val="24"/>
        </w:rPr>
        <w:t xml:space="preserve">Uvedeny hodnoty IRR v  rozhodnutí </w:t>
      </w:r>
      <w:r w:rsidR="00BD4871" w:rsidRPr="00C07DEA">
        <w:rPr>
          <w:i/>
          <w:sz w:val="24"/>
          <w:szCs w:val="24"/>
        </w:rPr>
        <w:t xml:space="preserve">Evropské komise </w:t>
      </w:r>
      <w:r w:rsidRPr="00C07DEA">
        <w:rPr>
          <w:i/>
          <w:sz w:val="24"/>
          <w:szCs w:val="24"/>
        </w:rPr>
        <w:t xml:space="preserve">jsou ve výši 5,43  % - 8 %. </w:t>
      </w:r>
    </w:p>
    <w:p w14:paraId="1EB1383F" w14:textId="4DABD084" w:rsidR="00624A92" w:rsidRPr="00C07DEA" w:rsidRDefault="00624A92" w:rsidP="000B4301">
      <w:pPr>
        <w:pStyle w:val="Odstavecseseznamem"/>
        <w:numPr>
          <w:ilvl w:val="0"/>
          <w:numId w:val="20"/>
        </w:numPr>
        <w:spacing w:after="0" w:line="240" w:lineRule="auto"/>
        <w:jc w:val="both"/>
        <w:rPr>
          <w:i/>
          <w:sz w:val="24"/>
          <w:szCs w:val="24"/>
        </w:rPr>
      </w:pPr>
      <w:r w:rsidRPr="00C07DEA">
        <w:rPr>
          <w:i/>
          <w:sz w:val="24"/>
          <w:szCs w:val="24"/>
        </w:rPr>
        <w:t>7,93  % IRR přís</w:t>
      </w:r>
      <w:r w:rsidR="007F7648">
        <w:rPr>
          <w:i/>
          <w:sz w:val="24"/>
          <w:szCs w:val="24"/>
        </w:rPr>
        <w:t>l</w:t>
      </w:r>
      <w:r w:rsidRPr="00C07DEA">
        <w:rPr>
          <w:i/>
          <w:sz w:val="24"/>
          <w:szCs w:val="24"/>
        </w:rPr>
        <w:t xml:space="preserve">uší výrobě elektřiny z černého uhlí, </w:t>
      </w:r>
    </w:p>
    <w:p w14:paraId="0FC77D44" w14:textId="77777777" w:rsidR="00624A92" w:rsidRPr="00C07DEA" w:rsidRDefault="00624A92" w:rsidP="000B4301">
      <w:pPr>
        <w:pStyle w:val="Odstavecseseznamem"/>
        <w:numPr>
          <w:ilvl w:val="0"/>
          <w:numId w:val="20"/>
        </w:numPr>
        <w:spacing w:after="0" w:line="240" w:lineRule="auto"/>
        <w:jc w:val="both"/>
        <w:rPr>
          <w:i/>
          <w:sz w:val="24"/>
          <w:szCs w:val="24"/>
        </w:rPr>
      </w:pPr>
      <w:r w:rsidRPr="00C07DEA">
        <w:rPr>
          <w:i/>
          <w:sz w:val="24"/>
          <w:szCs w:val="24"/>
        </w:rPr>
        <w:t xml:space="preserve">8 % IRR přísluší výrobě elektřiny z hnědého uhlí, </w:t>
      </w:r>
    </w:p>
    <w:p w14:paraId="731D4BE7" w14:textId="77777777" w:rsidR="00624A92" w:rsidRPr="00C07DEA" w:rsidRDefault="00624A92" w:rsidP="000B4301">
      <w:pPr>
        <w:pStyle w:val="Odstavecseseznamem"/>
        <w:numPr>
          <w:ilvl w:val="0"/>
          <w:numId w:val="20"/>
        </w:numPr>
        <w:spacing w:after="0" w:line="240" w:lineRule="auto"/>
        <w:jc w:val="both"/>
        <w:rPr>
          <w:i/>
          <w:sz w:val="24"/>
          <w:szCs w:val="24"/>
        </w:rPr>
      </w:pPr>
      <w:r w:rsidRPr="00C07DEA">
        <w:rPr>
          <w:i/>
          <w:sz w:val="24"/>
          <w:szCs w:val="24"/>
        </w:rPr>
        <w:t xml:space="preserve">5,43 % - 6,76 % IRR přísluší výrobě elektřiny z KVET, </w:t>
      </w:r>
    </w:p>
    <w:p w14:paraId="45F5D195" w14:textId="77777777" w:rsidR="00624A92" w:rsidRPr="00C07DEA" w:rsidRDefault="00624A92" w:rsidP="000B4301">
      <w:pPr>
        <w:pStyle w:val="Odstavecseseznamem"/>
        <w:numPr>
          <w:ilvl w:val="0"/>
          <w:numId w:val="20"/>
        </w:numPr>
        <w:spacing w:after="0" w:line="240" w:lineRule="auto"/>
        <w:jc w:val="both"/>
        <w:rPr>
          <w:i/>
          <w:sz w:val="24"/>
          <w:szCs w:val="24"/>
        </w:rPr>
      </w:pPr>
      <w:r w:rsidRPr="00C07DEA">
        <w:rPr>
          <w:i/>
          <w:sz w:val="24"/>
          <w:szCs w:val="24"/>
        </w:rPr>
        <w:t xml:space="preserve">6,04 % - 7,46 % IRR přísluší výrobě elektřiny z MVE a </w:t>
      </w:r>
    </w:p>
    <w:p w14:paraId="027613EE" w14:textId="77777777" w:rsidR="00624A92" w:rsidRPr="00C07DEA" w:rsidRDefault="00624A92" w:rsidP="000B4301">
      <w:pPr>
        <w:pStyle w:val="Odstavecseseznamem"/>
        <w:numPr>
          <w:ilvl w:val="0"/>
          <w:numId w:val="20"/>
        </w:numPr>
        <w:spacing w:after="0" w:line="240" w:lineRule="auto"/>
        <w:jc w:val="both"/>
        <w:rPr>
          <w:i/>
          <w:sz w:val="24"/>
          <w:szCs w:val="24"/>
        </w:rPr>
      </w:pPr>
      <w:r w:rsidRPr="00C07DEA">
        <w:rPr>
          <w:i/>
          <w:sz w:val="24"/>
          <w:szCs w:val="24"/>
        </w:rPr>
        <w:t xml:space="preserve">5,73 % IRR přísluší výrobě elektřiny ze všech dalších technologií OZE. </w:t>
      </w:r>
    </w:p>
    <w:p w14:paraId="06E739ED" w14:textId="77777777" w:rsidR="00624A92" w:rsidRPr="00C07DEA" w:rsidRDefault="00624A92" w:rsidP="00624A92">
      <w:pPr>
        <w:spacing w:after="0" w:line="240" w:lineRule="auto"/>
        <w:jc w:val="both"/>
        <w:rPr>
          <w:i/>
          <w:sz w:val="24"/>
          <w:szCs w:val="24"/>
        </w:rPr>
      </w:pPr>
    </w:p>
    <w:p w14:paraId="6FA5EFDF" w14:textId="16CB149D" w:rsidR="00624A92" w:rsidRPr="00C07DEA" w:rsidRDefault="007F7648" w:rsidP="00624A92">
      <w:pPr>
        <w:pStyle w:val="Normlnweb"/>
        <w:spacing w:before="0" w:beforeAutospacing="0" w:after="0" w:afterAutospacing="0"/>
        <w:jc w:val="both"/>
        <w:rPr>
          <w:rFonts w:asciiTheme="minorHAnsi" w:hAnsiTheme="minorHAnsi"/>
          <w:u w:val="single"/>
        </w:rPr>
      </w:pPr>
      <w:r w:rsidRPr="00C07DEA">
        <w:rPr>
          <w:rFonts w:asciiTheme="minorHAnsi" w:hAnsiTheme="minorHAnsi"/>
          <w:u w:val="single"/>
        </w:rPr>
        <w:t>K</w:t>
      </w:r>
      <w:r>
        <w:rPr>
          <w:rFonts w:asciiTheme="minorHAnsi" w:hAnsiTheme="minorHAnsi"/>
          <w:u w:val="single"/>
        </w:rPr>
        <w:t>u</w:t>
      </w:r>
      <w:r w:rsidRPr="00C07DEA">
        <w:rPr>
          <w:rFonts w:asciiTheme="minorHAnsi" w:hAnsiTheme="minorHAnsi"/>
          <w:u w:val="single"/>
        </w:rPr>
        <w:t xml:space="preserve">mulace </w:t>
      </w:r>
      <w:r w:rsidR="00624A92" w:rsidRPr="00C07DEA">
        <w:rPr>
          <w:rFonts w:asciiTheme="minorHAnsi" w:hAnsiTheme="minorHAnsi"/>
          <w:u w:val="single"/>
        </w:rPr>
        <w:t>podpor:</w:t>
      </w:r>
    </w:p>
    <w:p w14:paraId="4BF02661" w14:textId="77777777" w:rsidR="00624A92" w:rsidRPr="00C07DEA" w:rsidRDefault="00624A92" w:rsidP="00624A92">
      <w:pPr>
        <w:pStyle w:val="Normlnweb"/>
        <w:spacing w:before="0" w:beforeAutospacing="0" w:after="0" w:afterAutospacing="0"/>
        <w:jc w:val="both"/>
        <w:rPr>
          <w:rFonts w:asciiTheme="minorHAnsi" w:hAnsiTheme="minorHAnsi"/>
        </w:rPr>
      </w:pPr>
    </w:p>
    <w:p w14:paraId="56FD22D7" w14:textId="77777777" w:rsidR="00624A92" w:rsidRPr="00C07DEA" w:rsidRDefault="00624A92" w:rsidP="00624A92">
      <w:pPr>
        <w:spacing w:after="0" w:line="240" w:lineRule="auto"/>
        <w:jc w:val="both"/>
        <w:rPr>
          <w:i/>
          <w:sz w:val="24"/>
          <w:szCs w:val="24"/>
        </w:rPr>
      </w:pPr>
      <w:r w:rsidRPr="00C07DEA">
        <w:rPr>
          <w:i/>
          <w:sz w:val="24"/>
          <w:szCs w:val="24"/>
        </w:rPr>
        <w:t>(127) Podle polských orgánů kumulace podpory vycházející z faktu udělení více než jednoho typu certifikátu za jednotku elektřiny nevede a nemůže vést k překompenzaci, jelikož režim CO (certificate of origin – osvědčení původu) podporuje dodatečné náklady vyplývající z výroby energie z OZE, zatímco režim podpory KVET kryje dodatečné náklady spojené s kombinovanou výrobou elektřiny a tepla.</w:t>
      </w:r>
    </w:p>
    <w:p w14:paraId="482E7682" w14:textId="77777777" w:rsidR="00624A92" w:rsidRPr="00C07DEA" w:rsidRDefault="00624A92" w:rsidP="00624A92">
      <w:pPr>
        <w:spacing w:after="0" w:line="240" w:lineRule="auto"/>
        <w:jc w:val="both"/>
        <w:rPr>
          <w:i/>
          <w:sz w:val="24"/>
          <w:szCs w:val="24"/>
        </w:rPr>
      </w:pPr>
    </w:p>
    <w:p w14:paraId="3985425A" w14:textId="77777777" w:rsidR="00624A92" w:rsidRPr="00C07DEA" w:rsidRDefault="00624A92" w:rsidP="00624A92">
      <w:pPr>
        <w:spacing w:after="0" w:line="240" w:lineRule="auto"/>
        <w:jc w:val="both"/>
        <w:rPr>
          <w:i/>
          <w:sz w:val="24"/>
          <w:szCs w:val="24"/>
        </w:rPr>
      </w:pPr>
      <w:r w:rsidRPr="00C07DEA">
        <w:rPr>
          <w:i/>
          <w:sz w:val="24"/>
          <w:szCs w:val="24"/>
        </w:rPr>
        <w:t>(132) Pokud jde o kumulaci certifikátů s investiční podporou, polské orgány tvrdí, že to skutečně je možné a stalo se to, ale nevedlo to k překompenzaci. Investiční podpora byla poskytnuta na základě nařízení Komise (ES) 800/2008 ze dne 6. srpna 2008, prohlašujícího určité kategorie podpory za slučitelné se společným trhem při použití článků 87 a 88 Smlouvy o ES a v souladu s výší podpor v něm uložených. Polské orgány předložily tabulky s podrobnými výpočty, které dokládají kumulaci různých forem podpory, aby prokázaly, že v souhrnu nedošlo k překompenzaci. Polské orgány také předložily konkrétní údaje, týkající se konkrétních příkladů.</w:t>
      </w:r>
    </w:p>
    <w:p w14:paraId="484F4A77" w14:textId="77777777" w:rsidR="00624A92" w:rsidRPr="00C07DEA" w:rsidRDefault="00624A92" w:rsidP="00624A92">
      <w:pPr>
        <w:pStyle w:val="Normlnweb"/>
        <w:spacing w:before="0" w:beforeAutospacing="0" w:after="0" w:afterAutospacing="0"/>
        <w:jc w:val="both"/>
        <w:rPr>
          <w:rFonts w:asciiTheme="minorHAnsi" w:hAnsiTheme="minorHAnsi"/>
          <w:i/>
        </w:rPr>
      </w:pPr>
    </w:p>
    <w:p w14:paraId="24E893EB" w14:textId="77777777" w:rsidR="00624A92" w:rsidRPr="00C07DEA" w:rsidRDefault="00624A92" w:rsidP="00624A92">
      <w:pPr>
        <w:spacing w:after="0" w:line="240" w:lineRule="auto"/>
        <w:jc w:val="both"/>
        <w:rPr>
          <w:i/>
          <w:sz w:val="24"/>
          <w:szCs w:val="24"/>
        </w:rPr>
      </w:pPr>
      <w:r w:rsidRPr="00C07DEA">
        <w:rPr>
          <w:i/>
          <w:sz w:val="24"/>
          <w:szCs w:val="24"/>
        </w:rPr>
        <w:t>(192) Bod 74 EEAG z r. 2001 říká, že v případě kumulace podpory poskytované v rámci těchto pokynů s jinými formami podpory by neměla být překročena maximální intenzita podpory (nebo nejvýhodnější strop podpory) povolená pokyny. Komise konstatuje, že před rokem 2008 neexistovala žádná investiční podpora poskytnutá příjemcům. Podle informací poskytnutých Polskem byla investiční podpora poskytnuta po roce 2008 na základě nařízení Komise (ES) 800/2008 ze dne 6. srpna 2008, prohlašujícího určité kategorie podpory za slučitelné se společným trhem podle článků 87 a 88 Smlouvy o ES (viz bod 132). Kumulace s kogeneračními certifikáty byla možná, ale polské orgány to vzaly v úvahu při výpočtu LCOE v tabulce 1 a úroveň LCOE byla upravena odečtením hodnoty kogeneračních certifikátů, stejně jako tržeb za teplo. Vzhledem k výše uvedenému se Komise domnívá, že v období 2005-2008 nedošlo v souhrnu k překompenzaci.</w:t>
      </w:r>
    </w:p>
    <w:p w14:paraId="097F6C4D" w14:textId="77777777" w:rsidR="00624A92" w:rsidRPr="00C07DEA" w:rsidRDefault="00624A92" w:rsidP="00624A92">
      <w:pPr>
        <w:spacing w:after="0" w:line="240" w:lineRule="auto"/>
        <w:jc w:val="both"/>
        <w:rPr>
          <w:i/>
          <w:sz w:val="24"/>
          <w:szCs w:val="24"/>
        </w:rPr>
      </w:pPr>
    </w:p>
    <w:p w14:paraId="786A75D9" w14:textId="77777777" w:rsidR="00624A92" w:rsidRPr="00C07DEA" w:rsidRDefault="00624A92" w:rsidP="00624A92">
      <w:pPr>
        <w:spacing w:after="0" w:line="240" w:lineRule="auto"/>
        <w:jc w:val="both"/>
        <w:rPr>
          <w:i/>
          <w:sz w:val="24"/>
          <w:szCs w:val="24"/>
        </w:rPr>
      </w:pPr>
      <w:r w:rsidRPr="00C07DEA">
        <w:rPr>
          <w:i/>
          <w:sz w:val="24"/>
          <w:szCs w:val="24"/>
        </w:rPr>
        <w:t>(193) Polské orgány prokázaly, že kumulace osvědčení o původu s kogeneračními certifikáty nevedla v souhrnu k překompenzaci pro zařízení KVET na spoluspalování. To je také způsobeno tím, že osvědčení o původu slouží ke kompenzaci zvýšených nákladů na využívání biomasy, zatímco certifikáty KVET slouží ke kompenzaci zvýšených nákladů vzniklých z konkrétní technologie umožňující kombinovanou výrobu tepla a elektřiny. Polsko odečetlo výnosy z tepla a z kogeneračních certifikátů z výpočtu LCOE.</w:t>
      </w:r>
    </w:p>
    <w:p w14:paraId="273808A9" w14:textId="77777777" w:rsidR="00624A92" w:rsidRPr="00C07DEA" w:rsidRDefault="00624A92" w:rsidP="00624A92">
      <w:pPr>
        <w:spacing w:after="0" w:line="240" w:lineRule="auto"/>
        <w:jc w:val="both"/>
        <w:rPr>
          <w:i/>
          <w:sz w:val="24"/>
          <w:szCs w:val="24"/>
        </w:rPr>
      </w:pPr>
    </w:p>
    <w:p w14:paraId="2BB0F491" w14:textId="77777777" w:rsidR="00624A92" w:rsidRPr="00C07DEA" w:rsidRDefault="00624A92" w:rsidP="00624A92">
      <w:pPr>
        <w:spacing w:after="0" w:line="240" w:lineRule="auto"/>
        <w:jc w:val="both"/>
        <w:rPr>
          <w:i/>
          <w:sz w:val="24"/>
          <w:szCs w:val="24"/>
        </w:rPr>
      </w:pPr>
      <w:r w:rsidRPr="00C07DEA">
        <w:rPr>
          <w:i/>
          <w:sz w:val="24"/>
          <w:szCs w:val="24"/>
        </w:rPr>
        <w:t>(202) Kromě toho, Polsko prokázalo, že kumulace osvědčení o původu s investiční podporou, beroucí rovněž v úvahu i další certifikáty, které by příjemci mohli obdržet, nevedla k překompenzaci. Polsko poskytlo výpočty, aby prokázalo, že kumulace investiční podpory s jinou operativní podporou (v podobě různých kogeneračních certifikátů) po dobu 15 let, pro které je poskytnuta podpora ve formě osvědčení o původu nevede k překompenzaci.</w:t>
      </w:r>
    </w:p>
    <w:p w14:paraId="3EA328DB" w14:textId="77777777" w:rsidR="00624A92" w:rsidRPr="00C07DEA" w:rsidRDefault="00624A92" w:rsidP="00624A92">
      <w:pPr>
        <w:spacing w:after="0" w:line="240" w:lineRule="auto"/>
        <w:jc w:val="both"/>
        <w:rPr>
          <w:i/>
          <w:sz w:val="24"/>
          <w:szCs w:val="24"/>
        </w:rPr>
      </w:pPr>
    </w:p>
    <w:p w14:paraId="14632CA8" w14:textId="77777777" w:rsidR="00624A92" w:rsidRPr="00C07DEA" w:rsidRDefault="00624A92" w:rsidP="00624A92">
      <w:pPr>
        <w:spacing w:after="0" w:line="240" w:lineRule="auto"/>
        <w:jc w:val="both"/>
        <w:rPr>
          <w:i/>
          <w:sz w:val="24"/>
          <w:szCs w:val="24"/>
        </w:rPr>
      </w:pPr>
      <w:r w:rsidRPr="00C07DEA">
        <w:rPr>
          <w:i/>
          <w:sz w:val="24"/>
          <w:szCs w:val="24"/>
        </w:rPr>
        <w:t>(203) Na základě aktualizovaných informací poskytnutých polskými orgány o odhadovaných nákladech a výnosech za celý 15 let trvání podpory, Komise porovnala celkové náklady a celkové výnosy u všech možných podpor, které by mohly být kumulovány (včetně investiční podpory, která byla udělena některým příjemcům po roce 2008). Pro všechny technologie převýšily výrobní náklady celkové výnosy (včetně podpory - investiční podpory a jiných forem provozní podpory, jmenovitě osvědčení KVET různých barev), což potvrzuje, že nedošlo k překompenzaci.</w:t>
      </w:r>
    </w:p>
    <w:p w14:paraId="3BB4ED5E" w14:textId="77777777" w:rsidR="00624A92" w:rsidRPr="00C07DEA" w:rsidRDefault="00624A92" w:rsidP="00624A92">
      <w:pPr>
        <w:spacing w:after="0" w:line="240" w:lineRule="auto"/>
        <w:jc w:val="both"/>
        <w:rPr>
          <w:i/>
          <w:sz w:val="24"/>
          <w:szCs w:val="24"/>
        </w:rPr>
      </w:pPr>
    </w:p>
    <w:p w14:paraId="2702FBCD" w14:textId="77777777" w:rsidR="00624A92" w:rsidRPr="00C07DEA" w:rsidRDefault="00624A92" w:rsidP="00624A92">
      <w:pPr>
        <w:pStyle w:val="Normlnweb"/>
        <w:spacing w:before="0" w:beforeAutospacing="0" w:after="0" w:afterAutospacing="0"/>
        <w:jc w:val="both"/>
        <w:rPr>
          <w:rFonts w:asciiTheme="minorHAnsi" w:hAnsiTheme="minorHAnsi"/>
          <w:i/>
          <w:u w:val="single"/>
        </w:rPr>
      </w:pPr>
      <w:r w:rsidRPr="00C07DEA">
        <w:rPr>
          <w:rFonts w:asciiTheme="minorHAnsi" w:hAnsiTheme="minorHAnsi"/>
          <w:i/>
        </w:rPr>
        <w:t xml:space="preserve">(230) Jelikož Polsko mělo za to, že podpora poskytovaná prostřednictvím osvědčení o původu nepředstavuje podporu, nezavedlo žádná omezení týkající se kumulace s investiční podporou. Polsko nicméně předložilo Komisi podrobné informace o typech podpory, které byly k dispozici pro výrobce elektřiny z OZE a výsledky kumulace podpor. Polsko potvrdilo, že výnosy z osvědčení o původu byly vzaty v úvahu za účelem poskytnutí investiční podpory, takže investiční podpora byla upravena tak, aby se zabránilo překompenzaci vyplývající z takové kumulace. Údaje poskytnuté Polskem podporují tento závěr a ukazují, že kumulace provozní podpory ve formě osvědčení o původu s jinými formami pomoci (zejména investiční podpory), nevedla k překompenzaci. Z toho vyplývá, že jestli se investiční podpora odečte od investičních nákladů, zbývající náklady jsou dostatečným důvodem pro poskytnutí provozní podpory ve formě osvědčení o původu. </w:t>
      </w:r>
    </w:p>
    <w:p w14:paraId="3882BA58" w14:textId="77777777" w:rsidR="00624A92" w:rsidRPr="00C07DEA" w:rsidRDefault="00624A92" w:rsidP="00624A92">
      <w:pPr>
        <w:pStyle w:val="Normlnweb"/>
        <w:spacing w:before="0" w:beforeAutospacing="0" w:after="0" w:afterAutospacing="0"/>
        <w:jc w:val="both"/>
        <w:rPr>
          <w:rFonts w:asciiTheme="minorHAnsi" w:hAnsiTheme="minorHAnsi"/>
          <w:i/>
        </w:rPr>
      </w:pPr>
    </w:p>
    <w:p w14:paraId="4B5C0ACD" w14:textId="77777777" w:rsidR="00624A92" w:rsidRDefault="00624A92" w:rsidP="00624A92">
      <w:pPr>
        <w:pStyle w:val="Normlnweb"/>
        <w:spacing w:before="0" w:beforeAutospacing="0" w:after="0" w:afterAutospacing="0"/>
        <w:jc w:val="both"/>
        <w:rPr>
          <w:rFonts w:asciiTheme="minorHAnsi" w:hAnsiTheme="minorHAnsi"/>
          <w:i/>
        </w:rPr>
      </w:pPr>
    </w:p>
    <w:p w14:paraId="415C0954" w14:textId="77777777" w:rsidR="00C07DEA" w:rsidRDefault="00C07DEA" w:rsidP="00624A92">
      <w:pPr>
        <w:pStyle w:val="Normlnweb"/>
        <w:spacing w:before="0" w:beforeAutospacing="0" w:after="0" w:afterAutospacing="0"/>
        <w:jc w:val="both"/>
        <w:rPr>
          <w:rFonts w:asciiTheme="minorHAnsi" w:hAnsiTheme="minorHAnsi"/>
          <w:i/>
        </w:rPr>
      </w:pPr>
    </w:p>
    <w:p w14:paraId="02DEB6B5" w14:textId="77777777" w:rsidR="00C07DEA" w:rsidRDefault="00C07DEA" w:rsidP="00624A92">
      <w:pPr>
        <w:pStyle w:val="Normlnweb"/>
        <w:spacing w:before="0" w:beforeAutospacing="0" w:after="0" w:afterAutospacing="0"/>
        <w:jc w:val="both"/>
        <w:rPr>
          <w:rFonts w:asciiTheme="minorHAnsi" w:hAnsiTheme="minorHAnsi"/>
          <w:i/>
        </w:rPr>
      </w:pPr>
    </w:p>
    <w:p w14:paraId="3513F367" w14:textId="77777777" w:rsidR="00C07DEA" w:rsidRDefault="00C07DEA" w:rsidP="00624A92">
      <w:pPr>
        <w:pStyle w:val="Normlnweb"/>
        <w:spacing w:before="0" w:beforeAutospacing="0" w:after="0" w:afterAutospacing="0"/>
        <w:jc w:val="both"/>
        <w:rPr>
          <w:rFonts w:asciiTheme="minorHAnsi" w:hAnsiTheme="minorHAnsi"/>
          <w:i/>
        </w:rPr>
      </w:pPr>
    </w:p>
    <w:p w14:paraId="596D925B" w14:textId="77777777" w:rsidR="00C07DEA" w:rsidRDefault="00C07DEA" w:rsidP="00624A92">
      <w:pPr>
        <w:pStyle w:val="Normlnweb"/>
        <w:spacing w:before="0" w:beforeAutospacing="0" w:after="0" w:afterAutospacing="0"/>
        <w:jc w:val="both"/>
        <w:rPr>
          <w:rFonts w:asciiTheme="minorHAnsi" w:hAnsiTheme="minorHAnsi"/>
          <w:i/>
        </w:rPr>
      </w:pPr>
    </w:p>
    <w:p w14:paraId="5B949907" w14:textId="77777777" w:rsidR="00C07DEA" w:rsidRDefault="00C07DEA" w:rsidP="00624A92">
      <w:pPr>
        <w:pStyle w:val="Normlnweb"/>
        <w:spacing w:before="0" w:beforeAutospacing="0" w:after="0" w:afterAutospacing="0"/>
        <w:jc w:val="both"/>
        <w:rPr>
          <w:rFonts w:asciiTheme="minorHAnsi" w:hAnsiTheme="minorHAnsi"/>
          <w:i/>
        </w:rPr>
      </w:pPr>
    </w:p>
    <w:p w14:paraId="6EBF97ED" w14:textId="77777777" w:rsidR="00C07DEA" w:rsidRDefault="00C07DEA" w:rsidP="00624A92">
      <w:pPr>
        <w:pStyle w:val="Normlnweb"/>
        <w:spacing w:before="0" w:beforeAutospacing="0" w:after="0" w:afterAutospacing="0"/>
        <w:jc w:val="both"/>
        <w:rPr>
          <w:rFonts w:asciiTheme="minorHAnsi" w:hAnsiTheme="minorHAnsi"/>
          <w:i/>
        </w:rPr>
      </w:pPr>
    </w:p>
    <w:p w14:paraId="47345F00" w14:textId="77777777" w:rsidR="00C07DEA" w:rsidRPr="00C07DEA" w:rsidRDefault="00C07DEA" w:rsidP="00624A92">
      <w:pPr>
        <w:pStyle w:val="Normlnweb"/>
        <w:spacing w:before="0" w:beforeAutospacing="0" w:after="0" w:afterAutospacing="0"/>
        <w:jc w:val="both"/>
        <w:rPr>
          <w:rFonts w:asciiTheme="minorHAnsi" w:hAnsiTheme="minorHAnsi"/>
          <w:i/>
        </w:rPr>
      </w:pPr>
    </w:p>
    <w:p w14:paraId="25173224" w14:textId="77777777" w:rsidR="00624A92" w:rsidRPr="00D06AC6" w:rsidRDefault="00624A92" w:rsidP="00624A92">
      <w:pPr>
        <w:pStyle w:val="Odstavecseseznamem"/>
        <w:spacing w:after="0"/>
        <w:ind w:left="0"/>
        <w:jc w:val="both"/>
        <w:rPr>
          <w:b/>
          <w:sz w:val="24"/>
          <w:szCs w:val="24"/>
          <w:u w:val="single"/>
        </w:rPr>
      </w:pPr>
      <w:r w:rsidRPr="00D06AC6">
        <w:rPr>
          <w:b/>
          <w:sz w:val="24"/>
          <w:szCs w:val="24"/>
        </w:rPr>
        <w:t xml:space="preserve">7.    </w:t>
      </w:r>
      <w:r w:rsidRPr="00D06AC6">
        <w:rPr>
          <w:b/>
          <w:sz w:val="24"/>
          <w:szCs w:val="24"/>
          <w:u w:val="single"/>
        </w:rPr>
        <w:t xml:space="preserve">Rakousko - </w:t>
      </w:r>
      <w:r w:rsidRPr="00D06AC6">
        <w:rPr>
          <w:b/>
          <w:i/>
          <w:sz w:val="24"/>
          <w:szCs w:val="24"/>
          <w:u w:val="single"/>
        </w:rPr>
        <w:t>(NN 162/A/2003 a  N 317/A/2006)</w:t>
      </w:r>
      <w:r w:rsidRPr="00D06AC6">
        <w:rPr>
          <w:b/>
          <w:sz w:val="24"/>
          <w:szCs w:val="24"/>
          <w:u w:val="single"/>
        </w:rPr>
        <w:t>:</w:t>
      </w:r>
    </w:p>
    <w:p w14:paraId="05EB567D" w14:textId="77777777" w:rsidR="00624A92" w:rsidRPr="00C07DEA" w:rsidRDefault="00624A92" w:rsidP="00624A92">
      <w:pPr>
        <w:pStyle w:val="Normlnweb"/>
        <w:spacing w:before="0" w:beforeAutospacing="0" w:after="0" w:afterAutospacing="0"/>
        <w:jc w:val="both"/>
        <w:rPr>
          <w:rFonts w:asciiTheme="minorHAnsi" w:hAnsiTheme="minorHAnsi"/>
        </w:rPr>
      </w:pPr>
    </w:p>
    <w:p w14:paraId="3061B0DC" w14:textId="77777777" w:rsidR="00624A92" w:rsidRPr="00C07DEA" w:rsidRDefault="00624A92" w:rsidP="00624A92">
      <w:pPr>
        <w:pStyle w:val="Normlnweb"/>
        <w:spacing w:before="0" w:beforeAutospacing="0" w:after="0" w:afterAutospacing="0"/>
        <w:jc w:val="both"/>
        <w:rPr>
          <w:rFonts w:asciiTheme="minorHAnsi" w:hAnsiTheme="minorHAnsi"/>
          <w:u w:val="single"/>
        </w:rPr>
      </w:pPr>
      <w:r w:rsidRPr="00C07DEA">
        <w:rPr>
          <w:rFonts w:asciiTheme="minorHAnsi" w:hAnsiTheme="minorHAnsi"/>
          <w:u w:val="single"/>
        </w:rPr>
        <w:t>Vymezené období:</w:t>
      </w:r>
    </w:p>
    <w:p w14:paraId="2ECAAB49" w14:textId="77777777" w:rsidR="00624A92" w:rsidRPr="00C07DEA" w:rsidRDefault="00624A92" w:rsidP="00624A92">
      <w:pPr>
        <w:pStyle w:val="Normlnweb"/>
        <w:spacing w:before="0" w:beforeAutospacing="0" w:after="0" w:afterAutospacing="0"/>
        <w:jc w:val="both"/>
        <w:rPr>
          <w:rFonts w:asciiTheme="minorHAnsi" w:hAnsiTheme="minorHAnsi"/>
          <w:u w:val="single"/>
        </w:rPr>
      </w:pPr>
    </w:p>
    <w:p w14:paraId="3019CE50" w14:textId="77777777" w:rsidR="00624A92" w:rsidRPr="00C07DEA" w:rsidRDefault="00624A92" w:rsidP="00624A92">
      <w:pPr>
        <w:spacing w:after="0" w:line="240" w:lineRule="auto"/>
        <w:jc w:val="both"/>
        <w:rPr>
          <w:sz w:val="24"/>
          <w:szCs w:val="24"/>
        </w:rPr>
      </w:pPr>
      <w:r w:rsidRPr="00C07DEA">
        <w:rPr>
          <w:sz w:val="24"/>
          <w:szCs w:val="24"/>
        </w:rPr>
        <w:t>NN 162a/2003 a N 317a/2006: 4.7.2006-31.12.2010</w:t>
      </w:r>
    </w:p>
    <w:p w14:paraId="690C8EC7" w14:textId="77777777" w:rsidR="00624A92" w:rsidRPr="00C07DEA" w:rsidRDefault="00624A92" w:rsidP="00624A92">
      <w:pPr>
        <w:pStyle w:val="Normlnweb"/>
        <w:spacing w:before="0" w:beforeAutospacing="0" w:after="0" w:afterAutospacing="0"/>
        <w:jc w:val="both"/>
        <w:rPr>
          <w:rFonts w:asciiTheme="minorHAnsi" w:hAnsiTheme="minorHAnsi"/>
          <w:u w:val="single"/>
        </w:rPr>
      </w:pPr>
    </w:p>
    <w:p w14:paraId="21CE5F95" w14:textId="77777777" w:rsidR="00624A92" w:rsidRPr="00C07DEA" w:rsidRDefault="00624A92" w:rsidP="00624A92">
      <w:pPr>
        <w:pStyle w:val="Normlnweb"/>
        <w:spacing w:before="0" w:beforeAutospacing="0" w:after="0" w:afterAutospacing="0"/>
        <w:jc w:val="both"/>
        <w:rPr>
          <w:rFonts w:asciiTheme="minorHAnsi" w:hAnsiTheme="minorHAnsi"/>
          <w:u w:val="single"/>
        </w:rPr>
      </w:pPr>
      <w:r w:rsidRPr="00C07DEA">
        <w:rPr>
          <w:rFonts w:asciiTheme="minorHAnsi" w:hAnsiTheme="minorHAnsi"/>
          <w:u w:val="single"/>
        </w:rPr>
        <w:t>Překompenzace:</w:t>
      </w:r>
    </w:p>
    <w:p w14:paraId="05359134" w14:textId="77777777" w:rsidR="00624A92" w:rsidRPr="00C07DEA" w:rsidRDefault="00624A92" w:rsidP="00624A92">
      <w:pPr>
        <w:pStyle w:val="Normlnweb"/>
        <w:spacing w:before="0" w:beforeAutospacing="0" w:after="0" w:afterAutospacing="0"/>
        <w:jc w:val="both"/>
        <w:rPr>
          <w:rFonts w:asciiTheme="minorHAnsi" w:hAnsiTheme="minorHAnsi"/>
        </w:rPr>
      </w:pPr>
    </w:p>
    <w:p w14:paraId="73102299" w14:textId="77777777" w:rsidR="00624A92" w:rsidRPr="00C07DEA" w:rsidRDefault="00624A92" w:rsidP="00624A92">
      <w:pPr>
        <w:pStyle w:val="Normlnweb"/>
        <w:spacing w:before="0" w:beforeAutospacing="0" w:after="0" w:afterAutospacing="0"/>
        <w:jc w:val="both"/>
        <w:rPr>
          <w:rFonts w:asciiTheme="minorHAnsi" w:hAnsiTheme="minorHAnsi"/>
          <w:i/>
          <w:u w:val="single"/>
        </w:rPr>
      </w:pPr>
      <w:r w:rsidRPr="00C07DEA">
        <w:rPr>
          <w:rFonts w:asciiTheme="minorHAnsi" w:hAnsiTheme="minorHAnsi"/>
          <w:i/>
        </w:rPr>
        <w:t xml:space="preserve">(70) Bod 59, druhý pododstavec Pokynů k podpoře na ochranu životního prostředí stanoví, že při stanovení výše provozní podpory by měly být zohledněny veškerá investiční podpory poskytnuté firmě, pokud jde o nové výrobní zařízení. Rakousko informovalo v rámci předběžného postupu posuzování, že pouze omezený počet výrobců elektřiny z obnovitelných </w:t>
      </w:r>
      <w:r w:rsidRPr="00C07DEA">
        <w:rPr>
          <w:rFonts w:asciiTheme="minorHAnsi" w:hAnsiTheme="minorHAnsi"/>
          <w:i/>
        </w:rPr>
        <w:lastRenderedPageBreak/>
        <w:t>zdrojů těžil z investiční podpory kromě provozní podpory, o kterou se jedná. Rakousko zkoumalo režimy investičních podpor na federální úrovni a na úrovni "spolkových zemí" v detailu a dospělo k závěru, že v téměř žádném případě poskytnutá investiční podpora nevedla k amortizačnímu období pod 13 let, respektive zůstala pod úrovní pokrytí nákladů navrhovaného odborníky před tím, než byly stanoveny výkupní ceny. V praxi tedy jakákoli kumulovaná podpora nevedla k překompenzaci příjemců. Několik opatření na podporu investic do výroby zelené elektřiny bylo ukončeno v posledních letech. Při notifikaci upraveného zákona Rakousko informovalo Komisi, že podpora v zásadě nemohla být kumulována s jinou podporou. Pokud by však k tomu mělo dojít, budou respektována pravidla o kumulaci. (NN 162/A/2003 a  N 317/A/2006)</w:t>
      </w:r>
    </w:p>
    <w:p w14:paraId="4D0C35F3" w14:textId="77777777" w:rsidR="00624A92" w:rsidRPr="00C07DEA" w:rsidRDefault="00624A92" w:rsidP="00624A92">
      <w:pPr>
        <w:pStyle w:val="Normlnweb"/>
        <w:spacing w:before="0" w:beforeAutospacing="0" w:after="0" w:afterAutospacing="0"/>
        <w:jc w:val="both"/>
        <w:rPr>
          <w:rFonts w:asciiTheme="minorHAnsi" w:hAnsiTheme="minorHAnsi"/>
          <w:u w:val="single"/>
        </w:rPr>
      </w:pPr>
    </w:p>
    <w:p w14:paraId="687E9A8B" w14:textId="77777777" w:rsidR="00624A92" w:rsidRPr="00C07DEA" w:rsidRDefault="00624A92" w:rsidP="00624A92">
      <w:pPr>
        <w:pStyle w:val="Normlnweb"/>
        <w:spacing w:before="0" w:beforeAutospacing="0" w:after="0" w:afterAutospacing="0"/>
        <w:jc w:val="both"/>
        <w:rPr>
          <w:rFonts w:asciiTheme="minorHAnsi" w:hAnsiTheme="minorHAnsi"/>
          <w:u w:val="single"/>
        </w:rPr>
      </w:pPr>
      <w:r w:rsidRPr="00C07DEA">
        <w:rPr>
          <w:rFonts w:asciiTheme="minorHAnsi" w:hAnsiTheme="minorHAnsi"/>
          <w:u w:val="single"/>
        </w:rPr>
        <w:t>Monitoring podpory a Hodnoty IRR:</w:t>
      </w:r>
    </w:p>
    <w:p w14:paraId="5BFBBC95" w14:textId="77777777" w:rsidR="00624A92" w:rsidRPr="00C07DEA" w:rsidRDefault="00624A92" w:rsidP="00624A92">
      <w:pPr>
        <w:pStyle w:val="Normlnweb"/>
        <w:spacing w:before="0" w:beforeAutospacing="0" w:after="0" w:afterAutospacing="0"/>
        <w:jc w:val="both"/>
        <w:rPr>
          <w:rFonts w:asciiTheme="minorHAnsi" w:hAnsiTheme="minorHAnsi"/>
        </w:rPr>
      </w:pPr>
    </w:p>
    <w:p w14:paraId="637E8428" w14:textId="77777777" w:rsidR="00624A92" w:rsidRPr="00C07DEA" w:rsidRDefault="00624A92" w:rsidP="00624A92">
      <w:pPr>
        <w:pStyle w:val="Normlnweb"/>
        <w:spacing w:before="0" w:beforeAutospacing="0" w:after="0" w:afterAutospacing="0"/>
        <w:jc w:val="both"/>
        <w:rPr>
          <w:rFonts w:asciiTheme="minorHAnsi" w:hAnsiTheme="minorHAnsi"/>
          <w:i/>
        </w:rPr>
      </w:pPr>
      <w:r w:rsidRPr="00C07DEA">
        <w:rPr>
          <w:rFonts w:asciiTheme="minorHAnsi" w:hAnsiTheme="minorHAnsi"/>
          <w:i/>
        </w:rPr>
        <w:t>V rozhodnutí není uvedeno.</w:t>
      </w:r>
    </w:p>
    <w:p w14:paraId="07A0DF2E" w14:textId="77777777" w:rsidR="00624A92" w:rsidRPr="00C07DEA" w:rsidRDefault="00624A92" w:rsidP="00624A92">
      <w:pPr>
        <w:pStyle w:val="Normlnweb"/>
        <w:spacing w:before="0" w:beforeAutospacing="0" w:after="0" w:afterAutospacing="0"/>
        <w:jc w:val="both"/>
        <w:rPr>
          <w:rFonts w:asciiTheme="minorHAnsi" w:hAnsiTheme="minorHAnsi"/>
        </w:rPr>
      </w:pPr>
    </w:p>
    <w:p w14:paraId="419EA9B9" w14:textId="77777777" w:rsidR="00624A92" w:rsidRPr="00C07DEA" w:rsidRDefault="00624A92" w:rsidP="00624A92">
      <w:pPr>
        <w:pStyle w:val="Normlnweb"/>
        <w:spacing w:before="0" w:beforeAutospacing="0" w:after="0" w:afterAutospacing="0"/>
        <w:jc w:val="both"/>
        <w:rPr>
          <w:rFonts w:asciiTheme="minorHAnsi" w:hAnsiTheme="minorHAnsi"/>
          <w:u w:val="single"/>
        </w:rPr>
      </w:pPr>
      <w:r w:rsidRPr="00C07DEA">
        <w:rPr>
          <w:rFonts w:asciiTheme="minorHAnsi" w:hAnsiTheme="minorHAnsi"/>
          <w:u w:val="single"/>
        </w:rPr>
        <w:t>Kumulace podpor:</w:t>
      </w:r>
    </w:p>
    <w:p w14:paraId="7EE1F904" w14:textId="77777777" w:rsidR="00624A92" w:rsidRPr="00C07DEA" w:rsidRDefault="00624A92" w:rsidP="00624A92">
      <w:pPr>
        <w:pStyle w:val="Normlnweb"/>
        <w:spacing w:before="0" w:beforeAutospacing="0" w:after="0" w:afterAutospacing="0"/>
        <w:jc w:val="both"/>
        <w:rPr>
          <w:rFonts w:asciiTheme="minorHAnsi" w:hAnsiTheme="minorHAnsi"/>
        </w:rPr>
      </w:pPr>
    </w:p>
    <w:p w14:paraId="3E1B145A" w14:textId="77777777" w:rsidR="00624A92" w:rsidRPr="00C07DEA" w:rsidRDefault="00624A92" w:rsidP="00624A92">
      <w:pPr>
        <w:pStyle w:val="Normlnweb"/>
        <w:spacing w:before="0" w:beforeAutospacing="0" w:after="0" w:afterAutospacing="0"/>
        <w:jc w:val="both"/>
        <w:rPr>
          <w:rFonts w:asciiTheme="minorHAnsi" w:hAnsiTheme="minorHAnsi"/>
          <w:i/>
        </w:rPr>
      </w:pPr>
      <w:r w:rsidRPr="00C07DEA">
        <w:rPr>
          <w:rFonts w:asciiTheme="minorHAnsi" w:hAnsiTheme="minorHAnsi"/>
          <w:i/>
        </w:rPr>
        <w:t xml:space="preserve">(70) Bod 59, druhý pododstavec Pokynů k podpoře na ochranu životního prostředí stanoví, že při stanovení výše provozní podpory by měly být zohledněny veškerá investiční podpory poskytnuté firmě, pokud jde o nové výrobní zařízení. Rakousko informovalo v rámci předběžného postupu posuzování, že pouze omezený počet výrobců elektřiny z obnovitelných zdrojů těžil z investiční podpory kromě provozní podpory, o kterou se jedná. Rakousko zkoumalo režimy investičních podpor na federální úrovni a na úrovni "spolkových zemí" v detailu a dospělo k závěru, že v téměř žádném případě poskytnutá investiční podpora nevedla k amortizačnímu období pod 13 let, respektive zůstala pod úrovní pokrytí nákladů navrhovaného odborníky před tím, než byly stanoveny výkupní ceny. V praxi tedy jakákoli kumulovaná podpora nevedla k překompenzaci příjemců. Několik opatření na podporu investic do výroby zelené elektřiny bylo ukončeno v posledních letech. Při notifikaci upraveného zákona Rakousko informovalo Komisi, že podpora v zásadě nemohla být kumulována s jinou podporou. Pokud by však k tomu mělo dojít, budou respektována pravidla o kumulaci. </w:t>
      </w:r>
    </w:p>
    <w:p w14:paraId="2FE88AF3" w14:textId="77777777" w:rsidR="00624A92" w:rsidRPr="00C07DEA" w:rsidRDefault="00624A92" w:rsidP="00624A92">
      <w:pPr>
        <w:pStyle w:val="Normlnweb"/>
        <w:spacing w:before="0" w:beforeAutospacing="0" w:after="0" w:afterAutospacing="0"/>
        <w:jc w:val="both"/>
        <w:rPr>
          <w:rFonts w:asciiTheme="minorHAnsi" w:hAnsiTheme="minorHAnsi"/>
          <w:i/>
        </w:rPr>
      </w:pPr>
    </w:p>
    <w:p w14:paraId="07276658" w14:textId="77777777" w:rsidR="00624A92" w:rsidRDefault="00624A92" w:rsidP="00624A92">
      <w:pPr>
        <w:pStyle w:val="Normlnweb"/>
        <w:spacing w:before="0" w:beforeAutospacing="0" w:after="0" w:afterAutospacing="0"/>
        <w:jc w:val="both"/>
        <w:rPr>
          <w:rFonts w:asciiTheme="minorHAnsi" w:hAnsiTheme="minorHAnsi"/>
          <w:i/>
        </w:rPr>
      </w:pPr>
    </w:p>
    <w:p w14:paraId="3F2D5F3D" w14:textId="77777777" w:rsidR="00C07DEA" w:rsidRDefault="00C07DEA" w:rsidP="00624A92">
      <w:pPr>
        <w:pStyle w:val="Normlnweb"/>
        <w:spacing w:before="0" w:beforeAutospacing="0" w:after="0" w:afterAutospacing="0"/>
        <w:jc w:val="both"/>
        <w:rPr>
          <w:rFonts w:asciiTheme="minorHAnsi" w:hAnsiTheme="minorHAnsi"/>
          <w:i/>
        </w:rPr>
      </w:pPr>
    </w:p>
    <w:p w14:paraId="4AAB71A3" w14:textId="77777777" w:rsidR="00C07DEA" w:rsidRDefault="00C07DEA" w:rsidP="00624A92">
      <w:pPr>
        <w:pStyle w:val="Normlnweb"/>
        <w:spacing w:before="0" w:beforeAutospacing="0" w:after="0" w:afterAutospacing="0"/>
        <w:jc w:val="both"/>
        <w:rPr>
          <w:rFonts w:asciiTheme="minorHAnsi" w:hAnsiTheme="minorHAnsi"/>
          <w:i/>
        </w:rPr>
      </w:pPr>
    </w:p>
    <w:p w14:paraId="2E33692F" w14:textId="77777777" w:rsidR="00C07DEA" w:rsidRPr="00C07DEA" w:rsidRDefault="00C07DEA" w:rsidP="00624A92">
      <w:pPr>
        <w:pStyle w:val="Normlnweb"/>
        <w:spacing w:before="0" w:beforeAutospacing="0" w:after="0" w:afterAutospacing="0"/>
        <w:jc w:val="both"/>
        <w:rPr>
          <w:rFonts w:asciiTheme="minorHAnsi" w:hAnsiTheme="minorHAnsi"/>
          <w:i/>
        </w:rPr>
      </w:pPr>
    </w:p>
    <w:p w14:paraId="0D8DFE30" w14:textId="77777777" w:rsidR="00624A92" w:rsidRPr="00D06AC6" w:rsidRDefault="00624A92" w:rsidP="00624A92">
      <w:pPr>
        <w:pStyle w:val="Odstavecseseznamem"/>
        <w:spacing w:after="0"/>
        <w:ind w:left="0"/>
        <w:jc w:val="both"/>
        <w:rPr>
          <w:b/>
          <w:sz w:val="24"/>
          <w:szCs w:val="24"/>
          <w:u w:val="single"/>
        </w:rPr>
      </w:pPr>
      <w:r w:rsidRPr="00D06AC6">
        <w:rPr>
          <w:b/>
          <w:sz w:val="24"/>
          <w:szCs w:val="24"/>
        </w:rPr>
        <w:t xml:space="preserve">8.    </w:t>
      </w:r>
      <w:r w:rsidRPr="00D06AC6">
        <w:rPr>
          <w:b/>
          <w:sz w:val="24"/>
          <w:szCs w:val="24"/>
          <w:u w:val="single"/>
        </w:rPr>
        <w:t>Rumunsko – SA. 33134 (2011/N) a SA. 37177 (2015/NN):</w:t>
      </w:r>
    </w:p>
    <w:p w14:paraId="1B5D1E1A" w14:textId="77777777" w:rsidR="00624A92" w:rsidRPr="00C07DEA" w:rsidRDefault="00624A92" w:rsidP="00624A92">
      <w:pPr>
        <w:pStyle w:val="Normlnweb"/>
        <w:spacing w:before="0" w:beforeAutospacing="0" w:after="0" w:afterAutospacing="0"/>
        <w:jc w:val="both"/>
        <w:rPr>
          <w:rFonts w:asciiTheme="minorHAnsi" w:hAnsiTheme="minorHAnsi"/>
        </w:rPr>
      </w:pPr>
    </w:p>
    <w:p w14:paraId="5E589ACB" w14:textId="77777777" w:rsidR="00624A92" w:rsidRPr="00C07DEA" w:rsidRDefault="00624A92" w:rsidP="00624A92">
      <w:pPr>
        <w:pStyle w:val="Normlnweb"/>
        <w:spacing w:before="0" w:beforeAutospacing="0" w:after="0" w:afterAutospacing="0"/>
        <w:jc w:val="both"/>
        <w:rPr>
          <w:rFonts w:asciiTheme="minorHAnsi" w:hAnsiTheme="minorHAnsi"/>
          <w:u w:val="single"/>
        </w:rPr>
      </w:pPr>
      <w:r w:rsidRPr="00C07DEA">
        <w:rPr>
          <w:rFonts w:asciiTheme="minorHAnsi" w:hAnsiTheme="minorHAnsi"/>
          <w:u w:val="single"/>
        </w:rPr>
        <w:t>Vymezené období:</w:t>
      </w:r>
    </w:p>
    <w:p w14:paraId="0837454D" w14:textId="77777777" w:rsidR="00624A92" w:rsidRPr="00C07DEA" w:rsidRDefault="00624A92" w:rsidP="00624A92">
      <w:pPr>
        <w:spacing w:after="0" w:line="240" w:lineRule="auto"/>
        <w:jc w:val="both"/>
        <w:rPr>
          <w:sz w:val="24"/>
          <w:szCs w:val="24"/>
        </w:rPr>
      </w:pPr>
    </w:p>
    <w:p w14:paraId="4B6A4F7F" w14:textId="77777777" w:rsidR="00624A92" w:rsidRPr="00C07DEA" w:rsidRDefault="00624A92" w:rsidP="00624A92">
      <w:pPr>
        <w:spacing w:after="0" w:line="240" w:lineRule="auto"/>
        <w:jc w:val="both"/>
        <w:rPr>
          <w:sz w:val="24"/>
          <w:szCs w:val="24"/>
        </w:rPr>
      </w:pPr>
      <w:r w:rsidRPr="00C07DEA">
        <w:rPr>
          <w:sz w:val="24"/>
          <w:szCs w:val="24"/>
        </w:rPr>
        <w:t>SA. 37177 (2015/NN): 1.7.2013-31.12.2016</w:t>
      </w:r>
    </w:p>
    <w:p w14:paraId="4878A1A3" w14:textId="77777777" w:rsidR="00624A92" w:rsidRPr="00C07DEA" w:rsidRDefault="00624A92" w:rsidP="00624A92">
      <w:pPr>
        <w:spacing w:after="0" w:line="240" w:lineRule="auto"/>
        <w:jc w:val="both"/>
        <w:rPr>
          <w:sz w:val="24"/>
          <w:szCs w:val="24"/>
          <w:u w:val="single"/>
        </w:rPr>
      </w:pPr>
      <w:r w:rsidRPr="00C07DEA">
        <w:rPr>
          <w:sz w:val="24"/>
          <w:szCs w:val="24"/>
        </w:rPr>
        <w:t>SA. 33134 (2011/N): 13.7.2011-31.12.2016</w:t>
      </w:r>
    </w:p>
    <w:p w14:paraId="56DDD6A3" w14:textId="77777777" w:rsidR="00624A92" w:rsidRPr="00C07DEA" w:rsidRDefault="00624A92" w:rsidP="00624A92">
      <w:pPr>
        <w:pStyle w:val="Normlnweb"/>
        <w:spacing w:before="0" w:beforeAutospacing="0" w:after="0" w:afterAutospacing="0"/>
        <w:jc w:val="both"/>
        <w:rPr>
          <w:rFonts w:asciiTheme="minorHAnsi" w:hAnsiTheme="minorHAnsi"/>
          <w:u w:val="single"/>
        </w:rPr>
      </w:pPr>
    </w:p>
    <w:p w14:paraId="3B24B229" w14:textId="77777777" w:rsidR="00624A92" w:rsidRPr="00C07DEA" w:rsidRDefault="00624A92" w:rsidP="00624A92">
      <w:pPr>
        <w:pStyle w:val="Normlnweb"/>
        <w:spacing w:before="0" w:beforeAutospacing="0" w:after="0" w:afterAutospacing="0"/>
        <w:jc w:val="both"/>
        <w:rPr>
          <w:rFonts w:asciiTheme="minorHAnsi" w:hAnsiTheme="minorHAnsi"/>
          <w:u w:val="single"/>
        </w:rPr>
      </w:pPr>
      <w:r w:rsidRPr="00C07DEA">
        <w:rPr>
          <w:rFonts w:asciiTheme="minorHAnsi" w:hAnsiTheme="minorHAnsi"/>
          <w:u w:val="single"/>
        </w:rPr>
        <w:t>Překompenzace:</w:t>
      </w:r>
    </w:p>
    <w:p w14:paraId="09D3A3A4" w14:textId="77777777" w:rsidR="00624A92" w:rsidRPr="00C07DEA" w:rsidRDefault="00624A92" w:rsidP="00624A92">
      <w:pPr>
        <w:pStyle w:val="Normlnweb"/>
        <w:spacing w:before="0" w:beforeAutospacing="0" w:after="0" w:afterAutospacing="0"/>
        <w:jc w:val="both"/>
        <w:rPr>
          <w:rFonts w:asciiTheme="minorHAnsi" w:hAnsiTheme="minorHAnsi"/>
        </w:rPr>
      </w:pPr>
    </w:p>
    <w:p w14:paraId="17398EC4" w14:textId="77777777" w:rsidR="00624A92" w:rsidRPr="00C07DEA" w:rsidRDefault="00624A92" w:rsidP="00624A92">
      <w:pPr>
        <w:spacing w:after="0" w:line="240" w:lineRule="auto"/>
        <w:jc w:val="both"/>
        <w:rPr>
          <w:i/>
          <w:sz w:val="24"/>
          <w:szCs w:val="24"/>
        </w:rPr>
      </w:pPr>
      <w:r w:rsidRPr="00C07DEA">
        <w:rPr>
          <w:i/>
          <w:sz w:val="24"/>
          <w:szCs w:val="24"/>
        </w:rPr>
        <w:t xml:space="preserve">(19) Rozhodnutím vlády 994/2013 byl snížen počet zelených certifikátů u některých technologií (nové vody, vítr a solár) pro nové příjemce. Rumunsko informovalo Komisi </w:t>
      </w:r>
      <w:r w:rsidRPr="00C07DEA">
        <w:rPr>
          <w:i/>
          <w:sz w:val="24"/>
          <w:szCs w:val="24"/>
        </w:rPr>
        <w:lastRenderedPageBreak/>
        <w:t>o tomto rozhodnutí v průběhu  prenotifikačních kontaktů. Rumunské orgány vysvětlily, že rok 2012 byl prvním celým rokem, kdy byl tento systém použit. ANRE (Národní úřad pro výkon regulace v oblasti energetiky) zveřejnil svou monitorovací zprávu v roce 2013 s návrhem úprav, neboť riziko překompenzace bylo identifikováno u několika technologií. Příslušné úpravy byly přijaty vládou, jsou zahrnuty v rozhodnutí vlády 994/2013, a prováděny od 1. ledna 2014. Vzhledem k tomu, že rozhodnutí pouze provádělo mechanismus úprav schválený Komisí pro režim podpory (viz v rozhodnutí Komise body 37, 69-70 a poznámka pod čarou 20), je pokryto rozhodnutím Komise. Z toho vyplývá, že nemusí být notifikováno a není zahrnuto v rozsahu stávajícího rozhodnutí.</w:t>
      </w:r>
    </w:p>
    <w:p w14:paraId="1626B3EC" w14:textId="77777777" w:rsidR="00624A92" w:rsidRPr="00C07DEA" w:rsidRDefault="00624A92" w:rsidP="00624A92">
      <w:pPr>
        <w:spacing w:after="0" w:line="240" w:lineRule="auto"/>
        <w:jc w:val="both"/>
        <w:rPr>
          <w:i/>
          <w:sz w:val="24"/>
          <w:szCs w:val="24"/>
        </w:rPr>
      </w:pPr>
    </w:p>
    <w:p w14:paraId="65D1197B" w14:textId="77777777" w:rsidR="00624A92" w:rsidRPr="00C07DEA" w:rsidRDefault="00624A92" w:rsidP="00624A92">
      <w:pPr>
        <w:spacing w:after="0" w:line="240" w:lineRule="auto"/>
        <w:jc w:val="both"/>
        <w:rPr>
          <w:i/>
          <w:sz w:val="24"/>
          <w:szCs w:val="24"/>
        </w:rPr>
      </w:pPr>
      <w:r w:rsidRPr="00C07DEA">
        <w:rPr>
          <w:i/>
          <w:sz w:val="24"/>
          <w:szCs w:val="24"/>
        </w:rPr>
        <w:t>(33) Přesné podmínky závazku rumunských orgánů ohledně výše uvedených otázek jsou následující:</w:t>
      </w:r>
    </w:p>
    <w:p w14:paraId="21CB7F18" w14:textId="77777777" w:rsidR="00624A92" w:rsidRPr="00C07DEA" w:rsidRDefault="00624A92" w:rsidP="00624A92">
      <w:pPr>
        <w:spacing w:after="0" w:line="240" w:lineRule="auto"/>
        <w:jc w:val="both"/>
        <w:rPr>
          <w:i/>
          <w:sz w:val="24"/>
          <w:szCs w:val="24"/>
        </w:rPr>
      </w:pPr>
      <w:r w:rsidRPr="00C07DEA">
        <w:rPr>
          <w:i/>
          <w:sz w:val="24"/>
          <w:szCs w:val="24"/>
        </w:rPr>
        <w:t>…•</w:t>
      </w:r>
      <w:r w:rsidRPr="00C07DEA">
        <w:rPr>
          <w:i/>
          <w:sz w:val="24"/>
          <w:szCs w:val="24"/>
        </w:rPr>
        <w:tab/>
        <w:t>aby se zabránilo překompenzaci, pravidla pro kumulaci podpory musí být brána v úvahu při stanovení výše podpory v průběhu akreditačního procesu. Výrobci z jiných členských států jsou povinni poskytovat informace v tomto směru; výrobci z jiných členských států akreditovaní k příjmům z rumunského systému podpory obdrží zelené certifikáty vydané TSO (Transelectrica SA) pro elektřinu z obnovitelných zdrojů vyváženou a spotřebovaných v Rumunsku, na základě dokladů o jejím původu z obnovitelných zdrojů.</w:t>
      </w:r>
    </w:p>
    <w:p w14:paraId="16D7756B" w14:textId="77777777" w:rsidR="00624A92" w:rsidRPr="00C07DEA" w:rsidRDefault="00624A92" w:rsidP="00624A92">
      <w:pPr>
        <w:spacing w:after="0" w:line="240" w:lineRule="auto"/>
        <w:jc w:val="both"/>
        <w:rPr>
          <w:i/>
          <w:sz w:val="24"/>
          <w:szCs w:val="24"/>
        </w:rPr>
      </w:pPr>
    </w:p>
    <w:p w14:paraId="62C0381A" w14:textId="77777777" w:rsidR="00624A92" w:rsidRPr="00C07DEA" w:rsidRDefault="00624A92" w:rsidP="00624A92">
      <w:pPr>
        <w:spacing w:after="0" w:line="240" w:lineRule="auto"/>
        <w:jc w:val="both"/>
        <w:rPr>
          <w:i/>
          <w:sz w:val="24"/>
          <w:szCs w:val="24"/>
        </w:rPr>
      </w:pPr>
      <w:r w:rsidRPr="00C07DEA">
        <w:rPr>
          <w:i/>
          <w:sz w:val="24"/>
          <w:szCs w:val="24"/>
        </w:rPr>
        <w:t>(73) Ve svém rozhodnutí z roku 2011 Komise dospěla k závěru, že rumunský systém podpory zelených certifikátů je slučitelný s vnitřním trhem. Změny provedené v režimu nemění tento závěr. Ve skutečnosti lze tyto změny považovat za zpřísnění kritérií pro poskytnutí podpory. Jejich účinek je snížení částky podpory a intenzity podpory. Vedou k nižšímu výnosu u příjemců. Tím se dále snižuje riziko překompenzace.</w:t>
      </w:r>
    </w:p>
    <w:p w14:paraId="03351A10" w14:textId="77777777" w:rsidR="00624A92" w:rsidRPr="00C07DEA" w:rsidRDefault="00624A92" w:rsidP="00624A92">
      <w:pPr>
        <w:spacing w:after="0" w:line="240" w:lineRule="auto"/>
        <w:jc w:val="both"/>
        <w:rPr>
          <w:i/>
          <w:sz w:val="24"/>
          <w:szCs w:val="24"/>
        </w:rPr>
      </w:pPr>
    </w:p>
    <w:p w14:paraId="27357868" w14:textId="77777777" w:rsidR="00624A92" w:rsidRPr="00C07DEA" w:rsidRDefault="00624A92" w:rsidP="00624A92">
      <w:pPr>
        <w:spacing w:after="0" w:line="240" w:lineRule="auto"/>
        <w:jc w:val="both"/>
        <w:rPr>
          <w:i/>
          <w:sz w:val="24"/>
          <w:szCs w:val="24"/>
        </w:rPr>
      </w:pPr>
      <w:r w:rsidRPr="00C07DEA">
        <w:rPr>
          <w:i/>
          <w:sz w:val="24"/>
          <w:szCs w:val="24"/>
        </w:rPr>
        <w:t>(78) Komise uvádí, že za určitých okolností mohou členské státy poskytnout podporu, a tato podpora může být považována za slučitelnou s vnitřním trhem. Členské státy však nemají povinnost poskytnout státní podporu. Z tohoto důvodu také nemají žádnou povinnost poskytovat dostatečnou podporu, aby byla zajištěna minimální úroveň podpory příjemcům. Za určitých okolností lze kumulovat různé formy pomoci, pokud nevedou k překompenzaci. To ukazuje, že někdy určitá opatření podpory prováděná členským státem nemusí být dostatečná k dosažení požadovaných účinků.</w:t>
      </w:r>
    </w:p>
    <w:p w14:paraId="49590826" w14:textId="77777777" w:rsidR="00624A92" w:rsidRPr="00C07DEA" w:rsidRDefault="00624A92" w:rsidP="00624A92">
      <w:pPr>
        <w:spacing w:after="0" w:line="240" w:lineRule="auto"/>
        <w:jc w:val="both"/>
        <w:rPr>
          <w:i/>
          <w:sz w:val="24"/>
          <w:szCs w:val="24"/>
        </w:rPr>
      </w:pPr>
    </w:p>
    <w:p w14:paraId="779A6687" w14:textId="77777777" w:rsidR="00624A92" w:rsidRPr="00C07DEA" w:rsidRDefault="00624A92" w:rsidP="00624A92">
      <w:pPr>
        <w:spacing w:after="0" w:line="240" w:lineRule="auto"/>
        <w:jc w:val="both"/>
        <w:rPr>
          <w:i/>
          <w:sz w:val="24"/>
          <w:szCs w:val="24"/>
        </w:rPr>
      </w:pPr>
      <w:r w:rsidRPr="00C07DEA">
        <w:rPr>
          <w:i/>
          <w:sz w:val="24"/>
          <w:szCs w:val="24"/>
        </w:rPr>
        <w:t>(80) Na základě výše uvedených úvah Komise dospěla k závěru, že změny provedené rumunskými orgány nevedou v souhrnu k překompenzaci. Naopak, jak bylo potvrzeno tím, co Komise obdržela od různých stěžovatelů a třetích stran, tyto změny negativně ovlivnily ziskovost podporovaných projektů, a to možná ve větší míře, než odhadovaly rumunské orgány.</w:t>
      </w:r>
    </w:p>
    <w:p w14:paraId="795C493E" w14:textId="77777777" w:rsidR="00624A92" w:rsidRPr="00C07DEA" w:rsidRDefault="00624A92" w:rsidP="00624A92">
      <w:pPr>
        <w:spacing w:after="0" w:line="240" w:lineRule="auto"/>
        <w:jc w:val="both"/>
        <w:rPr>
          <w:i/>
          <w:sz w:val="24"/>
          <w:szCs w:val="24"/>
        </w:rPr>
      </w:pPr>
    </w:p>
    <w:p w14:paraId="6472C7A2" w14:textId="77777777" w:rsidR="00624A92" w:rsidRPr="00C07DEA" w:rsidRDefault="00624A92" w:rsidP="00624A92">
      <w:pPr>
        <w:spacing w:after="0" w:line="240" w:lineRule="auto"/>
        <w:jc w:val="both"/>
        <w:rPr>
          <w:i/>
          <w:sz w:val="24"/>
          <w:szCs w:val="24"/>
        </w:rPr>
      </w:pPr>
      <w:r w:rsidRPr="00C07DEA">
        <w:rPr>
          <w:i/>
          <w:sz w:val="24"/>
          <w:szCs w:val="24"/>
        </w:rPr>
        <w:t xml:space="preserve">(90) V souladu s bodem 69 EEAG se podpora na ochranu životního považuje za přiměřenou, pokud částka podpory na jednoho příjemce je omezena na minimum potřebné k dosažení zamýšleného cíle v oblasti ochrany životního prostředí. Komise měla v roce 2011 za to, že podpora poskytnutá formou zelených certifikátů byla přiměřená. Rumunsko monitorovalo vývoj systému podpory a provedlo úpravy v souladu s mechanismem schváleným v rozhodnutí Komise. Kromě toho Rumunsko provedlo několik změn v systému dalšího snižování úrovně podpory. To snížilo očekávanou IRR projektů, jak je znázorněno v tabulce 1. </w:t>
      </w:r>
      <w:r w:rsidRPr="00C07DEA">
        <w:rPr>
          <w:i/>
          <w:sz w:val="24"/>
          <w:szCs w:val="24"/>
        </w:rPr>
        <w:lastRenderedPageBreak/>
        <w:t>Komise konstatuje, že očekávaná IRR nenaznačuje žádné riziko překompenzace, a proto se domnívá, že podpora je omezena na nezbytné minimum.</w:t>
      </w:r>
    </w:p>
    <w:p w14:paraId="22617249" w14:textId="77777777" w:rsidR="00624A92" w:rsidRPr="00C07DEA" w:rsidRDefault="00624A92" w:rsidP="00624A92">
      <w:pPr>
        <w:spacing w:after="0" w:line="240" w:lineRule="auto"/>
        <w:jc w:val="both"/>
        <w:rPr>
          <w:i/>
          <w:sz w:val="24"/>
          <w:szCs w:val="24"/>
        </w:rPr>
      </w:pPr>
    </w:p>
    <w:p w14:paraId="0F6A2B98" w14:textId="77777777" w:rsidR="00624A92" w:rsidRPr="00C07DEA" w:rsidRDefault="00624A92" w:rsidP="00624A92">
      <w:pPr>
        <w:spacing w:after="0" w:line="240" w:lineRule="auto"/>
        <w:jc w:val="both"/>
        <w:rPr>
          <w:i/>
          <w:sz w:val="24"/>
          <w:szCs w:val="24"/>
        </w:rPr>
      </w:pPr>
      <w:r w:rsidRPr="00C07DEA">
        <w:rPr>
          <w:i/>
          <w:sz w:val="24"/>
          <w:szCs w:val="24"/>
        </w:rPr>
        <w:t>(92) Komise se domnívá, že podpora:</w:t>
      </w:r>
    </w:p>
    <w:p w14:paraId="77172E39" w14:textId="77777777" w:rsidR="00624A92" w:rsidRPr="00C07DEA" w:rsidRDefault="00624A92" w:rsidP="00624A92">
      <w:pPr>
        <w:spacing w:after="0" w:line="240" w:lineRule="auto"/>
        <w:jc w:val="both"/>
        <w:rPr>
          <w:i/>
          <w:sz w:val="24"/>
          <w:szCs w:val="24"/>
        </w:rPr>
      </w:pPr>
      <w:r w:rsidRPr="00C07DEA">
        <w:rPr>
          <w:i/>
          <w:sz w:val="24"/>
          <w:szCs w:val="24"/>
        </w:rPr>
        <w:t>•</w:t>
      </w:r>
      <w:r w:rsidRPr="00C07DEA">
        <w:rPr>
          <w:i/>
          <w:sz w:val="24"/>
          <w:szCs w:val="24"/>
        </w:rPr>
        <w:tab/>
        <w:t>je nezbytná k zajištění životaschopnosti elektřiny vyrobené z obnovitelných zdrojů energie,</w:t>
      </w:r>
    </w:p>
    <w:p w14:paraId="4F552FE6" w14:textId="77777777" w:rsidR="00624A92" w:rsidRPr="00C07DEA" w:rsidRDefault="00624A92" w:rsidP="00624A92">
      <w:pPr>
        <w:spacing w:after="0" w:line="240" w:lineRule="auto"/>
        <w:jc w:val="both"/>
        <w:rPr>
          <w:i/>
          <w:sz w:val="24"/>
          <w:szCs w:val="24"/>
        </w:rPr>
      </w:pPr>
      <w:r w:rsidRPr="00C07DEA">
        <w:rPr>
          <w:i/>
          <w:sz w:val="24"/>
          <w:szCs w:val="24"/>
        </w:rPr>
        <w:t>•</w:t>
      </w:r>
      <w:r w:rsidRPr="00C07DEA">
        <w:rPr>
          <w:i/>
          <w:sz w:val="24"/>
          <w:szCs w:val="24"/>
        </w:rPr>
        <w:tab/>
        <w:t>nemá na režim v souhrnu za následek překompenzaci v čase a napříč technologiemi, ani překompenzaci pro všechny jednotlivé technologie a</w:t>
      </w:r>
    </w:p>
    <w:p w14:paraId="121B79AD" w14:textId="77777777" w:rsidR="00624A92" w:rsidRPr="00C07DEA" w:rsidRDefault="00624A92" w:rsidP="00624A92">
      <w:pPr>
        <w:pStyle w:val="Normlnweb"/>
        <w:spacing w:before="0" w:beforeAutospacing="0" w:after="0" w:afterAutospacing="0"/>
        <w:jc w:val="both"/>
        <w:rPr>
          <w:rFonts w:asciiTheme="minorHAnsi" w:hAnsiTheme="minorHAnsi"/>
          <w:i/>
          <w:u w:val="single"/>
        </w:rPr>
      </w:pPr>
      <w:r w:rsidRPr="00C07DEA">
        <w:rPr>
          <w:rFonts w:asciiTheme="minorHAnsi" w:hAnsiTheme="minorHAnsi"/>
          <w:i/>
        </w:rPr>
        <w:t>•</w:t>
      </w:r>
      <w:r w:rsidRPr="00C07DEA">
        <w:rPr>
          <w:rFonts w:asciiTheme="minorHAnsi" w:hAnsiTheme="minorHAnsi"/>
          <w:i/>
        </w:rPr>
        <w:tab/>
        <w:t>neodrazuje výrobce energie z obnovitelných zdrojů od úsilí být konkurenceschopnější. (SA. 37177 (2015/NN).</w:t>
      </w:r>
    </w:p>
    <w:p w14:paraId="4317A3A3" w14:textId="77777777" w:rsidR="00624A92" w:rsidRPr="00C07DEA" w:rsidRDefault="00624A92" w:rsidP="00624A92">
      <w:pPr>
        <w:pStyle w:val="Normlnweb"/>
        <w:spacing w:before="0" w:beforeAutospacing="0" w:after="0" w:afterAutospacing="0"/>
        <w:jc w:val="both"/>
        <w:rPr>
          <w:rFonts w:asciiTheme="minorHAnsi" w:hAnsiTheme="minorHAnsi"/>
          <w:u w:val="single"/>
        </w:rPr>
      </w:pPr>
    </w:p>
    <w:p w14:paraId="7CED6A1F" w14:textId="77777777" w:rsidR="00624A92" w:rsidRPr="00C07DEA" w:rsidRDefault="00624A92" w:rsidP="00624A92">
      <w:pPr>
        <w:pStyle w:val="Normlnweb"/>
        <w:spacing w:before="0" w:beforeAutospacing="0" w:after="0" w:afterAutospacing="0"/>
        <w:jc w:val="both"/>
        <w:rPr>
          <w:rFonts w:asciiTheme="minorHAnsi" w:hAnsiTheme="minorHAnsi"/>
          <w:u w:val="single"/>
        </w:rPr>
      </w:pPr>
      <w:r w:rsidRPr="00C07DEA">
        <w:rPr>
          <w:rFonts w:asciiTheme="minorHAnsi" w:hAnsiTheme="minorHAnsi"/>
          <w:u w:val="single"/>
        </w:rPr>
        <w:t>Monitoring podpory:</w:t>
      </w:r>
    </w:p>
    <w:p w14:paraId="3B0D1329" w14:textId="77777777" w:rsidR="00624A92" w:rsidRPr="00C07DEA" w:rsidRDefault="00624A92" w:rsidP="00624A92">
      <w:pPr>
        <w:pStyle w:val="Normlnweb"/>
        <w:spacing w:before="0" w:beforeAutospacing="0" w:after="0" w:afterAutospacing="0"/>
        <w:jc w:val="both"/>
        <w:rPr>
          <w:rFonts w:asciiTheme="minorHAnsi" w:hAnsiTheme="minorHAnsi"/>
        </w:rPr>
      </w:pPr>
    </w:p>
    <w:p w14:paraId="7FA4D4F2" w14:textId="77777777" w:rsidR="00624A92" w:rsidRPr="00C07DEA" w:rsidRDefault="00624A92" w:rsidP="00624A92">
      <w:pPr>
        <w:spacing w:after="0" w:line="240" w:lineRule="auto"/>
        <w:jc w:val="both"/>
        <w:rPr>
          <w:i/>
          <w:sz w:val="24"/>
          <w:szCs w:val="24"/>
        </w:rPr>
      </w:pPr>
      <w:r w:rsidRPr="00C07DEA">
        <w:rPr>
          <w:i/>
          <w:sz w:val="24"/>
          <w:szCs w:val="24"/>
        </w:rPr>
        <w:t>(23) Další změny byly zavedeny, ale zrušeny poté, aniž byly provedeny. Tyto změny jsou následující:</w:t>
      </w:r>
    </w:p>
    <w:p w14:paraId="718A4BEF" w14:textId="77777777" w:rsidR="00624A92" w:rsidRPr="00C07DEA" w:rsidRDefault="00624A92" w:rsidP="00624A92">
      <w:pPr>
        <w:spacing w:after="0" w:line="240" w:lineRule="auto"/>
        <w:jc w:val="both"/>
        <w:rPr>
          <w:i/>
          <w:sz w:val="24"/>
          <w:szCs w:val="24"/>
        </w:rPr>
      </w:pPr>
      <w:r w:rsidRPr="00C07DEA">
        <w:rPr>
          <w:i/>
          <w:sz w:val="24"/>
          <w:szCs w:val="24"/>
        </w:rPr>
        <w:t>•</w:t>
      </w:r>
      <w:r w:rsidRPr="00C07DEA">
        <w:rPr>
          <w:i/>
          <w:sz w:val="24"/>
          <w:szCs w:val="24"/>
        </w:rPr>
        <w:tab/>
        <w:t>Změny týkající se mechanismu úprav (původně, v souladu s rozhodnutím Komise, národní právní úprava stanovila roční monitorování a v případě potřeby úpravy platné od 1. ledna následujícího roku; zákonem č. 134/2012 Rumunsko rozhodlo, že první úpravu nelze provést před rokem 2014 pro solární energii a 2015 pro ostatní technologie; v roce 2013 Rumunsko zavedlo monitorování 6měsíčních období a úprav do 90 dnů;</w:t>
      </w:r>
    </w:p>
    <w:p w14:paraId="6190121F" w14:textId="77777777" w:rsidR="00624A92" w:rsidRPr="00C07DEA" w:rsidRDefault="00624A92" w:rsidP="00624A92">
      <w:pPr>
        <w:spacing w:after="0" w:line="240" w:lineRule="auto"/>
        <w:jc w:val="both"/>
        <w:rPr>
          <w:i/>
          <w:sz w:val="24"/>
          <w:szCs w:val="24"/>
        </w:rPr>
      </w:pPr>
      <w:r w:rsidRPr="00C07DEA">
        <w:rPr>
          <w:i/>
          <w:sz w:val="24"/>
          <w:szCs w:val="24"/>
        </w:rPr>
        <w:t>…</w:t>
      </w:r>
    </w:p>
    <w:p w14:paraId="6F142AAB" w14:textId="77777777" w:rsidR="00624A92" w:rsidRPr="00C07DEA" w:rsidRDefault="00624A92" w:rsidP="00624A92">
      <w:pPr>
        <w:spacing w:after="0" w:line="240" w:lineRule="auto"/>
        <w:jc w:val="both"/>
        <w:rPr>
          <w:i/>
          <w:sz w:val="24"/>
          <w:szCs w:val="24"/>
        </w:rPr>
      </w:pPr>
      <w:r w:rsidRPr="00C07DEA">
        <w:rPr>
          <w:i/>
          <w:sz w:val="24"/>
          <w:szCs w:val="24"/>
        </w:rPr>
        <w:t>(64) Na základě výše uvedených skutečností se Komise domnívá, že dodavatelé elektřiny spravují náklady na zelené certifikáty a že jsou pověřeni specifickými úkoly a všemi souvisejícími operacemi prováděnými státem. Komise kromě toho poznamenává, že stát monitoruje způsob, jakým dodavatelé elektřiny spravují náklady na zelené certifikáty.</w:t>
      </w:r>
    </w:p>
    <w:p w14:paraId="73B5C22D" w14:textId="77777777" w:rsidR="00624A92" w:rsidRPr="00C07DEA" w:rsidRDefault="00624A92" w:rsidP="00624A92">
      <w:pPr>
        <w:spacing w:after="0" w:line="240" w:lineRule="auto"/>
        <w:jc w:val="both"/>
        <w:rPr>
          <w:i/>
          <w:sz w:val="24"/>
          <w:szCs w:val="24"/>
        </w:rPr>
      </w:pPr>
    </w:p>
    <w:p w14:paraId="1EE73375" w14:textId="77777777" w:rsidR="00624A92" w:rsidRPr="00C07DEA" w:rsidRDefault="00624A92" w:rsidP="00624A92">
      <w:pPr>
        <w:spacing w:after="0" w:line="240" w:lineRule="auto"/>
        <w:jc w:val="both"/>
        <w:rPr>
          <w:i/>
          <w:sz w:val="24"/>
          <w:szCs w:val="24"/>
        </w:rPr>
      </w:pPr>
      <w:r w:rsidRPr="00C07DEA">
        <w:rPr>
          <w:i/>
          <w:sz w:val="24"/>
          <w:szCs w:val="24"/>
        </w:rPr>
        <w:t>(90) V souladu s bodem 69 EEAG se podpora na ochranu životního považuje za přiměřenou, pokud částka podpory na jednoho příjemce je omezena na minimum potřebné k dosažení zamýšleného cíle v oblasti ochrany životního prostředí. Komise měla v roce 2011 za to, že podpora poskytnutá formou zelených certifikátů byla přiměřená. Rumunsko monitorovalo vývoj systému podpory a provedlo úpravy v souladu s mechanismem schváleným v rozhodnutí Komise. Kromě toho Rumunsko provedlo několik změn v systému dalšího snižování úrovně podpory. To snížilo očekávanou IRR projektů, jak je znázorněno v tabulce 1. Komise konstatuje, že očekávaná IRR nenaznačuje žádné riziko překompenzace, a proto se domnívá, že podpora je omezena na nezbytné minimum. /37177 (2015/NN)/</w:t>
      </w:r>
    </w:p>
    <w:p w14:paraId="26ADD3C4" w14:textId="77777777" w:rsidR="00624A92" w:rsidRPr="00C07DEA" w:rsidRDefault="00624A92" w:rsidP="00624A92">
      <w:pPr>
        <w:spacing w:after="0" w:line="240" w:lineRule="auto"/>
        <w:jc w:val="both"/>
        <w:rPr>
          <w:i/>
          <w:sz w:val="24"/>
          <w:szCs w:val="24"/>
        </w:rPr>
      </w:pPr>
    </w:p>
    <w:p w14:paraId="75A1CBE2" w14:textId="77777777" w:rsidR="00624A92" w:rsidRPr="00C07DEA" w:rsidRDefault="00624A92" w:rsidP="00624A92">
      <w:pPr>
        <w:pStyle w:val="Normlnweb"/>
        <w:spacing w:before="0" w:beforeAutospacing="0" w:after="0" w:afterAutospacing="0"/>
        <w:jc w:val="both"/>
        <w:rPr>
          <w:rFonts w:asciiTheme="minorHAnsi" w:hAnsiTheme="minorHAnsi"/>
          <w:i/>
        </w:rPr>
      </w:pPr>
      <w:r w:rsidRPr="00C07DEA">
        <w:rPr>
          <w:rFonts w:asciiTheme="minorHAnsi" w:hAnsiTheme="minorHAnsi"/>
          <w:i/>
        </w:rPr>
        <w:t>(59) S ohledem na neexistenci překompenzace v čase potvrdily rumunské orgány, že výrobní náklady a výnosy (tržní cena elektřiny, výnosy ze zelených certifikátů) budou monitorovány na ročním základě a že úroveň podpory pro nové příjemce bude upravena, v případě že bude identifikováno riziko překompenzace. (SA. 33134 (2011/N)).</w:t>
      </w:r>
    </w:p>
    <w:p w14:paraId="5B179A75" w14:textId="77777777" w:rsidR="00624A92" w:rsidRPr="00C07DEA" w:rsidRDefault="00624A92" w:rsidP="00624A92">
      <w:pPr>
        <w:pStyle w:val="Normlnweb"/>
        <w:spacing w:before="0" w:beforeAutospacing="0" w:after="0" w:afterAutospacing="0"/>
        <w:jc w:val="both"/>
        <w:rPr>
          <w:rFonts w:asciiTheme="minorHAnsi" w:hAnsiTheme="minorHAnsi"/>
          <w:i/>
          <w:u w:val="single"/>
        </w:rPr>
      </w:pPr>
    </w:p>
    <w:p w14:paraId="338D5000" w14:textId="77777777" w:rsidR="00624A92" w:rsidRPr="00C07DEA" w:rsidRDefault="00624A92" w:rsidP="00624A92">
      <w:pPr>
        <w:pStyle w:val="Normlnweb"/>
        <w:spacing w:before="0" w:beforeAutospacing="0" w:after="0" w:afterAutospacing="0"/>
        <w:jc w:val="both"/>
        <w:rPr>
          <w:rFonts w:asciiTheme="minorHAnsi" w:hAnsiTheme="minorHAnsi"/>
          <w:u w:val="single"/>
        </w:rPr>
      </w:pPr>
      <w:r w:rsidRPr="00C07DEA">
        <w:rPr>
          <w:rFonts w:asciiTheme="minorHAnsi" w:hAnsiTheme="minorHAnsi"/>
          <w:u w:val="single"/>
        </w:rPr>
        <w:t>Hodnoty IRR:</w:t>
      </w:r>
    </w:p>
    <w:p w14:paraId="4F42CD24" w14:textId="77777777" w:rsidR="00624A92" w:rsidRPr="00C07DEA" w:rsidRDefault="00624A92" w:rsidP="00624A92">
      <w:pPr>
        <w:pStyle w:val="Normlnweb"/>
        <w:spacing w:before="0" w:beforeAutospacing="0" w:after="0" w:afterAutospacing="0"/>
        <w:jc w:val="both"/>
        <w:rPr>
          <w:rFonts w:asciiTheme="minorHAnsi" w:hAnsiTheme="minorHAnsi"/>
          <w:u w:val="single"/>
        </w:rPr>
      </w:pPr>
    </w:p>
    <w:p w14:paraId="50C4C04F" w14:textId="6EAAED04" w:rsidR="00624A92" w:rsidRPr="00C07DEA" w:rsidRDefault="00624A92" w:rsidP="00624A92">
      <w:pPr>
        <w:spacing w:line="240" w:lineRule="auto"/>
        <w:jc w:val="both"/>
        <w:rPr>
          <w:i/>
          <w:sz w:val="24"/>
          <w:szCs w:val="24"/>
        </w:rPr>
      </w:pPr>
      <w:r w:rsidRPr="00C07DEA">
        <w:rPr>
          <w:i/>
          <w:sz w:val="24"/>
          <w:szCs w:val="24"/>
        </w:rPr>
        <w:t xml:space="preserve">Uvedené hodnoty počátečního IRR (před zavedením opatření) v  rozhodnutí </w:t>
      </w:r>
      <w:r w:rsidR="00BD4871" w:rsidRPr="00C07DEA">
        <w:rPr>
          <w:i/>
          <w:sz w:val="24"/>
          <w:szCs w:val="24"/>
        </w:rPr>
        <w:t xml:space="preserve">Evropské komise </w:t>
      </w:r>
      <w:r w:rsidRPr="00C07DEA">
        <w:rPr>
          <w:i/>
          <w:sz w:val="24"/>
          <w:szCs w:val="24"/>
        </w:rPr>
        <w:t>byla ve výši 2,1 % - 11,8 % (66). Jedná se o počáteční IRR, kdy 2,1 % platí pro staré MVE a 11,8 % platí pro biomasu resp. bioply</w:t>
      </w:r>
      <w:r w:rsidR="007F7648">
        <w:rPr>
          <w:i/>
          <w:sz w:val="24"/>
          <w:szCs w:val="24"/>
        </w:rPr>
        <w:t>n</w:t>
      </w:r>
      <w:r w:rsidRPr="00C07DEA">
        <w:rPr>
          <w:i/>
          <w:sz w:val="24"/>
          <w:szCs w:val="24"/>
        </w:rPr>
        <w:t xml:space="preserve">  (SA. 33134/2011/N)).</w:t>
      </w:r>
    </w:p>
    <w:p w14:paraId="2712758F" w14:textId="07E28B8D" w:rsidR="00624A92" w:rsidRPr="00C07DEA" w:rsidRDefault="00624A92" w:rsidP="00624A92">
      <w:pPr>
        <w:spacing w:line="240" w:lineRule="auto"/>
        <w:jc w:val="both"/>
        <w:rPr>
          <w:i/>
          <w:sz w:val="24"/>
          <w:szCs w:val="24"/>
        </w:rPr>
      </w:pPr>
      <w:r w:rsidRPr="00C07DEA">
        <w:rPr>
          <w:i/>
          <w:sz w:val="24"/>
          <w:szCs w:val="24"/>
        </w:rPr>
        <w:lastRenderedPageBreak/>
        <w:t xml:space="preserve">Dále byly v  rozhodnutí </w:t>
      </w:r>
      <w:r w:rsidR="00BD4871" w:rsidRPr="00C07DEA">
        <w:rPr>
          <w:i/>
          <w:sz w:val="24"/>
          <w:szCs w:val="24"/>
        </w:rPr>
        <w:t xml:space="preserve">Evropské komise </w:t>
      </w:r>
      <w:r w:rsidRPr="00C07DEA">
        <w:rPr>
          <w:i/>
          <w:sz w:val="24"/>
          <w:szCs w:val="24"/>
        </w:rPr>
        <w:t xml:space="preserve">uvedeny také hodnoty </w:t>
      </w:r>
      <w:r w:rsidR="007F7648" w:rsidRPr="00C07DEA">
        <w:rPr>
          <w:i/>
          <w:sz w:val="24"/>
          <w:szCs w:val="24"/>
        </w:rPr>
        <w:t>odhadovan</w:t>
      </w:r>
      <w:r w:rsidR="007F7648">
        <w:rPr>
          <w:i/>
          <w:sz w:val="24"/>
          <w:szCs w:val="24"/>
        </w:rPr>
        <w:t>ého</w:t>
      </w:r>
      <w:r w:rsidR="007F7648" w:rsidRPr="00C07DEA">
        <w:rPr>
          <w:i/>
          <w:sz w:val="24"/>
          <w:szCs w:val="24"/>
        </w:rPr>
        <w:t xml:space="preserve"> </w:t>
      </w:r>
      <w:r w:rsidRPr="00C07DEA">
        <w:rPr>
          <w:i/>
          <w:sz w:val="24"/>
          <w:szCs w:val="24"/>
        </w:rPr>
        <w:t>IRR (odhadované v rámci zavedené opatření v době notifikace v březnu 2014) ve výši 2,1 % - 10,2 %. Jedná se o odhadované  IRR (notifikované v březnu 2014) po zavedení opatření v rámci pozměňovacích návrhů, kdy 2,1 % platí pro staré MVE a 10,2 % platí pro rekonstruované větrné elektrárny.</w:t>
      </w:r>
    </w:p>
    <w:p w14:paraId="0A34C725" w14:textId="6BA7879B" w:rsidR="00624A92" w:rsidRPr="00C07DEA" w:rsidRDefault="00624A92" w:rsidP="00624A92">
      <w:pPr>
        <w:spacing w:line="240" w:lineRule="auto"/>
        <w:jc w:val="both"/>
        <w:rPr>
          <w:i/>
          <w:sz w:val="24"/>
          <w:szCs w:val="24"/>
        </w:rPr>
      </w:pPr>
      <w:r w:rsidRPr="00C07DEA">
        <w:rPr>
          <w:i/>
          <w:sz w:val="24"/>
          <w:szCs w:val="24"/>
        </w:rPr>
        <w:t xml:space="preserve">Dále byly v  rozhodnutí </w:t>
      </w:r>
      <w:r w:rsidR="00BD4871" w:rsidRPr="00C07DEA">
        <w:rPr>
          <w:i/>
          <w:sz w:val="24"/>
          <w:szCs w:val="24"/>
        </w:rPr>
        <w:t xml:space="preserve">Evropské komise </w:t>
      </w:r>
      <w:r w:rsidRPr="00C07DEA">
        <w:rPr>
          <w:i/>
          <w:sz w:val="24"/>
          <w:szCs w:val="24"/>
        </w:rPr>
        <w:t>uvedeny také hodnoty aktualizovaného IRR (listopad 2014) ve výši 2,1 % - 10,1 %. Jedná se o aktualizované IRR (notifikované v březnu 2014) po zavedení opatření v rámci pozměňovacích návrhů, kdy 2,1 % platí pro staré MVE a 10,1 % platí pro rekonstruované větrné elektrárny  (SA. 37177 (2015/NN)).</w:t>
      </w:r>
    </w:p>
    <w:p w14:paraId="25C881E7" w14:textId="77777777" w:rsidR="00624A92" w:rsidRPr="00C07DEA" w:rsidRDefault="00624A92" w:rsidP="000B4301">
      <w:pPr>
        <w:pStyle w:val="Odstavecseseznamem"/>
        <w:numPr>
          <w:ilvl w:val="0"/>
          <w:numId w:val="19"/>
        </w:numPr>
        <w:spacing w:after="0" w:line="240" w:lineRule="auto"/>
        <w:ind w:left="714" w:hanging="357"/>
        <w:jc w:val="both"/>
        <w:rPr>
          <w:i/>
          <w:sz w:val="24"/>
          <w:szCs w:val="24"/>
        </w:rPr>
      </w:pPr>
      <w:r w:rsidRPr="00C07DEA">
        <w:rPr>
          <w:i/>
          <w:sz w:val="24"/>
          <w:szCs w:val="24"/>
        </w:rPr>
        <w:t>8,6 % (vítr – nová zař.)</w:t>
      </w:r>
    </w:p>
    <w:p w14:paraId="182C3BE2" w14:textId="77777777" w:rsidR="00624A92" w:rsidRPr="00C07DEA" w:rsidRDefault="00624A92" w:rsidP="000B4301">
      <w:pPr>
        <w:pStyle w:val="Odstavecseseznamem"/>
        <w:numPr>
          <w:ilvl w:val="0"/>
          <w:numId w:val="19"/>
        </w:numPr>
        <w:spacing w:after="0" w:line="240" w:lineRule="auto"/>
        <w:ind w:left="714" w:hanging="357"/>
        <w:jc w:val="both"/>
        <w:rPr>
          <w:i/>
          <w:sz w:val="24"/>
          <w:szCs w:val="24"/>
        </w:rPr>
      </w:pPr>
      <w:r w:rsidRPr="00C07DEA">
        <w:rPr>
          <w:i/>
          <w:sz w:val="24"/>
          <w:szCs w:val="24"/>
        </w:rPr>
        <w:t>10,1 % (vítr – zrekonstr. zař.)</w:t>
      </w:r>
    </w:p>
    <w:p w14:paraId="74021315" w14:textId="77777777" w:rsidR="00624A92" w:rsidRPr="00C07DEA" w:rsidRDefault="00624A92" w:rsidP="000B4301">
      <w:pPr>
        <w:pStyle w:val="Odstavecseseznamem"/>
        <w:numPr>
          <w:ilvl w:val="0"/>
          <w:numId w:val="19"/>
        </w:numPr>
        <w:spacing w:after="0" w:line="240" w:lineRule="auto"/>
        <w:ind w:left="714" w:hanging="357"/>
        <w:jc w:val="both"/>
        <w:rPr>
          <w:i/>
          <w:sz w:val="24"/>
          <w:szCs w:val="24"/>
        </w:rPr>
      </w:pPr>
      <w:r w:rsidRPr="00C07DEA">
        <w:rPr>
          <w:i/>
          <w:sz w:val="24"/>
          <w:szCs w:val="24"/>
        </w:rPr>
        <w:t>7,4 % (voda – nová zař.)</w:t>
      </w:r>
    </w:p>
    <w:p w14:paraId="0EA2FF7F" w14:textId="77777777" w:rsidR="00624A92" w:rsidRPr="00C07DEA" w:rsidRDefault="00624A92" w:rsidP="000B4301">
      <w:pPr>
        <w:pStyle w:val="Odstavecseseznamem"/>
        <w:numPr>
          <w:ilvl w:val="0"/>
          <w:numId w:val="19"/>
        </w:numPr>
        <w:spacing w:after="0" w:line="240" w:lineRule="auto"/>
        <w:ind w:left="714" w:hanging="357"/>
        <w:jc w:val="both"/>
        <w:rPr>
          <w:i/>
          <w:sz w:val="24"/>
          <w:szCs w:val="24"/>
        </w:rPr>
      </w:pPr>
      <w:r w:rsidRPr="00C07DEA">
        <w:rPr>
          <w:i/>
          <w:sz w:val="24"/>
          <w:szCs w:val="24"/>
        </w:rPr>
        <w:t>7,5 % (voda – modern. zař.)</w:t>
      </w:r>
    </w:p>
    <w:p w14:paraId="1E307026" w14:textId="77777777" w:rsidR="00624A92" w:rsidRPr="00C07DEA" w:rsidRDefault="00624A92" w:rsidP="000B4301">
      <w:pPr>
        <w:pStyle w:val="Odstavecseseznamem"/>
        <w:numPr>
          <w:ilvl w:val="0"/>
          <w:numId w:val="19"/>
        </w:numPr>
        <w:spacing w:after="0" w:line="240" w:lineRule="auto"/>
        <w:ind w:left="714" w:hanging="357"/>
        <w:jc w:val="both"/>
        <w:rPr>
          <w:i/>
          <w:sz w:val="24"/>
          <w:szCs w:val="24"/>
        </w:rPr>
      </w:pPr>
      <w:r w:rsidRPr="00C07DEA">
        <w:rPr>
          <w:i/>
          <w:sz w:val="24"/>
          <w:szCs w:val="24"/>
        </w:rPr>
        <w:t>2,1 % (voda – stará zař.)</w:t>
      </w:r>
    </w:p>
    <w:p w14:paraId="434B2072" w14:textId="77777777" w:rsidR="00624A92" w:rsidRPr="00C07DEA" w:rsidRDefault="00624A92" w:rsidP="000B4301">
      <w:pPr>
        <w:pStyle w:val="Odstavecseseznamem"/>
        <w:numPr>
          <w:ilvl w:val="0"/>
          <w:numId w:val="19"/>
        </w:numPr>
        <w:spacing w:after="0" w:line="240" w:lineRule="auto"/>
        <w:ind w:left="714" w:hanging="357"/>
        <w:jc w:val="both"/>
        <w:rPr>
          <w:i/>
          <w:sz w:val="24"/>
          <w:szCs w:val="24"/>
        </w:rPr>
      </w:pPr>
      <w:r w:rsidRPr="00C07DEA">
        <w:rPr>
          <w:i/>
          <w:sz w:val="24"/>
          <w:szCs w:val="24"/>
        </w:rPr>
        <w:t>7,5 % (kogen. biomasy)</w:t>
      </w:r>
    </w:p>
    <w:p w14:paraId="3428898F" w14:textId="77777777" w:rsidR="00624A92" w:rsidRPr="00C07DEA" w:rsidRDefault="00624A92" w:rsidP="000B4301">
      <w:pPr>
        <w:pStyle w:val="Odstavecseseznamem"/>
        <w:numPr>
          <w:ilvl w:val="0"/>
          <w:numId w:val="19"/>
        </w:numPr>
        <w:spacing w:after="0" w:line="240" w:lineRule="auto"/>
        <w:ind w:left="714" w:hanging="357"/>
        <w:jc w:val="both"/>
        <w:rPr>
          <w:i/>
          <w:sz w:val="24"/>
          <w:szCs w:val="24"/>
        </w:rPr>
      </w:pPr>
      <w:r w:rsidRPr="00C07DEA">
        <w:rPr>
          <w:i/>
          <w:sz w:val="24"/>
          <w:szCs w:val="24"/>
        </w:rPr>
        <w:t>5,4 % (biomasa-ferm. odpadů)</w:t>
      </w:r>
    </w:p>
    <w:p w14:paraId="12320C1E" w14:textId="77777777" w:rsidR="00624A92" w:rsidRPr="00C07DEA" w:rsidRDefault="00624A92" w:rsidP="000B4301">
      <w:pPr>
        <w:pStyle w:val="Odstavecseseznamem"/>
        <w:numPr>
          <w:ilvl w:val="0"/>
          <w:numId w:val="19"/>
        </w:numPr>
        <w:spacing w:after="0" w:line="240" w:lineRule="auto"/>
        <w:ind w:left="714" w:hanging="357"/>
        <w:jc w:val="both"/>
        <w:rPr>
          <w:i/>
          <w:sz w:val="24"/>
          <w:szCs w:val="24"/>
        </w:rPr>
      </w:pPr>
      <w:r w:rsidRPr="00C07DEA">
        <w:rPr>
          <w:i/>
          <w:sz w:val="24"/>
          <w:szCs w:val="24"/>
        </w:rPr>
        <w:t>7,2 % (biomasa)</w:t>
      </w:r>
    </w:p>
    <w:p w14:paraId="25079438" w14:textId="77777777" w:rsidR="00624A92" w:rsidRPr="00C07DEA" w:rsidRDefault="00624A92" w:rsidP="000B4301">
      <w:pPr>
        <w:pStyle w:val="Odstavecseseznamem"/>
        <w:numPr>
          <w:ilvl w:val="0"/>
          <w:numId w:val="19"/>
        </w:numPr>
        <w:spacing w:after="0" w:line="240" w:lineRule="auto"/>
        <w:ind w:left="714" w:hanging="357"/>
        <w:jc w:val="both"/>
        <w:rPr>
          <w:i/>
          <w:sz w:val="24"/>
          <w:szCs w:val="24"/>
        </w:rPr>
      </w:pPr>
      <w:r w:rsidRPr="00C07DEA">
        <w:rPr>
          <w:i/>
          <w:sz w:val="24"/>
          <w:szCs w:val="24"/>
        </w:rPr>
        <w:t>8,0 % (biomasa-ener. plodiny)</w:t>
      </w:r>
    </w:p>
    <w:p w14:paraId="2ECE0076" w14:textId="77777777" w:rsidR="00624A92" w:rsidRPr="00C07DEA" w:rsidRDefault="00624A92" w:rsidP="000B4301">
      <w:pPr>
        <w:pStyle w:val="Odstavecseseznamem"/>
        <w:numPr>
          <w:ilvl w:val="0"/>
          <w:numId w:val="19"/>
        </w:numPr>
        <w:spacing w:after="0" w:line="240" w:lineRule="auto"/>
        <w:ind w:left="714" w:hanging="357"/>
        <w:jc w:val="both"/>
        <w:rPr>
          <w:i/>
          <w:sz w:val="24"/>
          <w:szCs w:val="24"/>
        </w:rPr>
      </w:pPr>
      <w:r w:rsidRPr="00C07DEA">
        <w:rPr>
          <w:i/>
          <w:sz w:val="24"/>
          <w:szCs w:val="24"/>
        </w:rPr>
        <w:t>8,3 % (solár)</w:t>
      </w:r>
    </w:p>
    <w:p w14:paraId="2FF479B9" w14:textId="77777777" w:rsidR="00624A92" w:rsidRPr="00C07DEA" w:rsidRDefault="00624A92" w:rsidP="00624A92">
      <w:pPr>
        <w:spacing w:line="240" w:lineRule="auto"/>
        <w:jc w:val="both"/>
        <w:rPr>
          <w:i/>
          <w:sz w:val="24"/>
          <w:szCs w:val="24"/>
        </w:rPr>
      </w:pPr>
    </w:p>
    <w:p w14:paraId="50EE734A" w14:textId="77777777" w:rsidR="00624A92" w:rsidRPr="00C07DEA" w:rsidRDefault="00624A92" w:rsidP="00624A92">
      <w:pPr>
        <w:spacing w:after="0" w:line="240" w:lineRule="auto"/>
        <w:jc w:val="both"/>
        <w:rPr>
          <w:i/>
          <w:sz w:val="24"/>
          <w:szCs w:val="24"/>
        </w:rPr>
      </w:pPr>
      <w:r w:rsidRPr="00C07DEA">
        <w:rPr>
          <w:i/>
          <w:sz w:val="24"/>
          <w:szCs w:val="24"/>
        </w:rPr>
        <w:t>Dopad notifikovaných změn na schválený režim:</w:t>
      </w:r>
    </w:p>
    <w:p w14:paraId="66C9C9DA" w14:textId="77777777" w:rsidR="00624A92" w:rsidRPr="00C07DEA" w:rsidRDefault="00624A92" w:rsidP="00624A92">
      <w:pPr>
        <w:spacing w:after="0" w:line="240" w:lineRule="auto"/>
        <w:jc w:val="both"/>
        <w:rPr>
          <w:i/>
          <w:sz w:val="24"/>
          <w:szCs w:val="24"/>
        </w:rPr>
      </w:pPr>
    </w:p>
    <w:p w14:paraId="6651A694" w14:textId="77777777" w:rsidR="00624A92" w:rsidRPr="00C07DEA" w:rsidRDefault="00624A92" w:rsidP="00624A92">
      <w:pPr>
        <w:spacing w:after="0" w:line="240" w:lineRule="auto"/>
        <w:jc w:val="both"/>
        <w:rPr>
          <w:i/>
          <w:sz w:val="24"/>
          <w:szCs w:val="24"/>
        </w:rPr>
      </w:pPr>
      <w:r w:rsidRPr="00C07DEA">
        <w:rPr>
          <w:i/>
          <w:sz w:val="24"/>
          <w:szCs w:val="24"/>
        </w:rPr>
        <w:t>(29) Tyto změny budou mít pro většinu typů technologií negativní dopad na vnitřní míry návratnosti příjemců.</w:t>
      </w:r>
    </w:p>
    <w:p w14:paraId="65707BAB" w14:textId="77777777" w:rsidR="00624A92" w:rsidRPr="00C07DEA" w:rsidRDefault="00624A92" w:rsidP="00624A92">
      <w:pPr>
        <w:spacing w:after="0" w:line="240" w:lineRule="auto"/>
        <w:jc w:val="both"/>
        <w:rPr>
          <w:i/>
          <w:sz w:val="24"/>
          <w:szCs w:val="24"/>
        </w:rPr>
      </w:pPr>
    </w:p>
    <w:p w14:paraId="27452B49" w14:textId="77777777" w:rsidR="00624A92" w:rsidRPr="00C07DEA" w:rsidRDefault="00624A92" w:rsidP="00624A92">
      <w:pPr>
        <w:spacing w:after="0" w:line="240" w:lineRule="auto"/>
        <w:jc w:val="both"/>
        <w:rPr>
          <w:i/>
          <w:sz w:val="24"/>
          <w:szCs w:val="24"/>
        </w:rPr>
      </w:pPr>
      <w:r w:rsidRPr="00C07DEA">
        <w:rPr>
          <w:i/>
          <w:sz w:val="24"/>
          <w:szCs w:val="24"/>
        </w:rPr>
        <w:t>(88) Kromě toho tabulka poskytnutá rumunskými orgány (viz tabulka 1 výše) ukazuje, že IRR všech instalovaných výkonů podle typů technologií je stále pozitivní, jen pro biomasu z technologií založených na fermentací odpadů a kalů z odpadních vod se IRR snížilo přibližně o 50 %.</w:t>
      </w:r>
    </w:p>
    <w:p w14:paraId="239A5308" w14:textId="77777777" w:rsidR="00624A92" w:rsidRPr="00C07DEA" w:rsidRDefault="00624A92" w:rsidP="00624A92">
      <w:pPr>
        <w:spacing w:after="0" w:line="240" w:lineRule="auto"/>
        <w:jc w:val="both"/>
        <w:rPr>
          <w:i/>
          <w:sz w:val="24"/>
          <w:szCs w:val="24"/>
        </w:rPr>
      </w:pPr>
    </w:p>
    <w:p w14:paraId="727026A1" w14:textId="77777777" w:rsidR="00624A92" w:rsidRPr="00C07DEA" w:rsidRDefault="00624A92" w:rsidP="00624A92">
      <w:pPr>
        <w:spacing w:after="0" w:line="240" w:lineRule="auto"/>
        <w:jc w:val="both"/>
        <w:rPr>
          <w:i/>
          <w:sz w:val="24"/>
          <w:szCs w:val="24"/>
        </w:rPr>
      </w:pPr>
      <w:r w:rsidRPr="00C07DEA">
        <w:rPr>
          <w:i/>
          <w:sz w:val="24"/>
          <w:szCs w:val="24"/>
        </w:rPr>
        <w:t>(90) V souladu s bodem 69 EEAG se podpora na ochranu životního považuje za přiměřenou, pokud částka podpory na jednoho příjemce je omezena na minimum potřebné k dosažení zamýšleného cíle v oblasti ochrany životního prostředí. Komise měla v roce 2011 za to, že podpora poskytnutá formou zelených certifikátů byla přiměřená. Rumunsko monitorovalo vývoj systému podpory a provedlo úpravy v souladu s mechanismem schváleným v rozhodnutí Komise. Kromě toho Rumunsko provedlo několik změn v systému dalšího snižování úrovně podpory. To snížilo očekávanou IRR projektů, jak je znázorněno v tabulce 1. Komise konstatuje, že očekávaná IRR nenaznačuje žádné riziko překompenzace, a proto se domnívá, že podpora je omezena na nezbytné minimum. /37177 (2015/NN)/</w:t>
      </w:r>
    </w:p>
    <w:p w14:paraId="5386EEB1" w14:textId="77777777" w:rsidR="00624A92" w:rsidRPr="00C07DEA" w:rsidRDefault="00624A92" w:rsidP="00624A92">
      <w:pPr>
        <w:spacing w:after="0" w:line="240" w:lineRule="auto"/>
        <w:jc w:val="both"/>
        <w:rPr>
          <w:i/>
          <w:sz w:val="24"/>
          <w:szCs w:val="24"/>
        </w:rPr>
      </w:pPr>
    </w:p>
    <w:p w14:paraId="141082B8" w14:textId="77777777" w:rsidR="00624A92" w:rsidRPr="00C07DEA" w:rsidRDefault="00624A92" w:rsidP="00624A92">
      <w:pPr>
        <w:pStyle w:val="Normlnweb"/>
        <w:spacing w:before="0" w:beforeAutospacing="0" w:after="0" w:afterAutospacing="0"/>
        <w:jc w:val="both"/>
        <w:rPr>
          <w:rFonts w:asciiTheme="minorHAnsi" w:hAnsiTheme="minorHAnsi"/>
          <w:u w:val="single"/>
        </w:rPr>
      </w:pPr>
      <w:r w:rsidRPr="00C07DEA">
        <w:rPr>
          <w:rFonts w:asciiTheme="minorHAnsi" w:hAnsiTheme="minorHAnsi"/>
          <w:u w:val="single"/>
        </w:rPr>
        <w:t>Kumulace podpor:</w:t>
      </w:r>
    </w:p>
    <w:p w14:paraId="58739719" w14:textId="77777777" w:rsidR="00624A92" w:rsidRPr="00C07DEA" w:rsidRDefault="00624A92" w:rsidP="00624A92">
      <w:pPr>
        <w:pStyle w:val="Normlnweb"/>
        <w:spacing w:before="0" w:beforeAutospacing="0" w:after="0" w:afterAutospacing="0"/>
        <w:jc w:val="both"/>
        <w:rPr>
          <w:rFonts w:asciiTheme="minorHAnsi" w:hAnsiTheme="minorHAnsi"/>
        </w:rPr>
      </w:pPr>
    </w:p>
    <w:p w14:paraId="65787425" w14:textId="77777777" w:rsidR="00624A92" w:rsidRPr="00C07DEA" w:rsidRDefault="00624A92" w:rsidP="00624A92">
      <w:pPr>
        <w:spacing w:after="0" w:line="240" w:lineRule="auto"/>
        <w:jc w:val="both"/>
        <w:rPr>
          <w:i/>
          <w:sz w:val="24"/>
          <w:szCs w:val="24"/>
        </w:rPr>
      </w:pPr>
      <w:r w:rsidRPr="00C07DEA">
        <w:rPr>
          <w:i/>
          <w:sz w:val="24"/>
          <w:szCs w:val="24"/>
        </w:rPr>
        <w:t>(33) Přesné podmínky závazku rumunských orgánů ohledně výše uvedených otázek jsou následující:</w:t>
      </w:r>
    </w:p>
    <w:p w14:paraId="590C9604" w14:textId="77777777" w:rsidR="00624A92" w:rsidRPr="00C07DEA" w:rsidRDefault="00624A92" w:rsidP="00624A92">
      <w:pPr>
        <w:spacing w:after="0" w:line="240" w:lineRule="auto"/>
        <w:jc w:val="both"/>
        <w:rPr>
          <w:i/>
          <w:sz w:val="24"/>
          <w:szCs w:val="24"/>
        </w:rPr>
      </w:pPr>
      <w:r w:rsidRPr="00C07DEA">
        <w:rPr>
          <w:i/>
          <w:sz w:val="24"/>
          <w:szCs w:val="24"/>
        </w:rPr>
        <w:t>…</w:t>
      </w:r>
    </w:p>
    <w:p w14:paraId="52E40AD8" w14:textId="77777777" w:rsidR="00624A92" w:rsidRPr="00C07DEA" w:rsidRDefault="00624A92" w:rsidP="00624A92">
      <w:pPr>
        <w:spacing w:after="0" w:line="240" w:lineRule="auto"/>
        <w:jc w:val="both"/>
        <w:rPr>
          <w:i/>
          <w:sz w:val="24"/>
          <w:szCs w:val="24"/>
        </w:rPr>
      </w:pPr>
      <w:r w:rsidRPr="00C07DEA">
        <w:rPr>
          <w:i/>
          <w:sz w:val="24"/>
          <w:szCs w:val="24"/>
        </w:rPr>
        <w:lastRenderedPageBreak/>
        <w:t>•</w:t>
      </w:r>
      <w:r w:rsidRPr="00C07DEA">
        <w:rPr>
          <w:i/>
          <w:sz w:val="24"/>
          <w:szCs w:val="24"/>
        </w:rPr>
        <w:tab/>
        <w:t>aby se zabránilo překompenzaci, pravidla pro kumulaci podpory musí být brána v úvahu při stanovení výše podpory v průběhu akreditačního procesu. Výrobci z jiných členských států jsou povinni poskytovat informace v tomto směru; výrobci z jiných členských států akreditovaní k příjmům z rumunského systému podpory obdrží zelené certifikáty vydané TSO (Transelectrica SA) pro elektřinu z obnovitelných zdrojů vyváženou a spotřebovaných v Rumunsku, na základě dokladů o jejím původu z obnovitelných zdrojů;</w:t>
      </w:r>
    </w:p>
    <w:p w14:paraId="1180CFD2" w14:textId="77777777" w:rsidR="00624A92" w:rsidRPr="00C07DEA" w:rsidRDefault="00624A92" w:rsidP="00624A92">
      <w:pPr>
        <w:spacing w:after="0" w:line="240" w:lineRule="auto"/>
        <w:jc w:val="both"/>
        <w:rPr>
          <w:i/>
          <w:sz w:val="24"/>
          <w:szCs w:val="24"/>
        </w:rPr>
      </w:pPr>
    </w:p>
    <w:p w14:paraId="15B16C7B" w14:textId="77777777" w:rsidR="00624A92" w:rsidRPr="00C07DEA" w:rsidRDefault="00624A92" w:rsidP="00624A92">
      <w:pPr>
        <w:spacing w:after="0" w:line="240" w:lineRule="auto"/>
        <w:jc w:val="both"/>
        <w:rPr>
          <w:i/>
          <w:sz w:val="24"/>
          <w:szCs w:val="24"/>
        </w:rPr>
      </w:pPr>
      <w:r w:rsidRPr="00C07DEA">
        <w:rPr>
          <w:i/>
          <w:sz w:val="24"/>
          <w:szCs w:val="24"/>
        </w:rPr>
        <w:t xml:space="preserve">(38) Většina třetích stran si stěžovala, že Rumunsko zavedlo a uplatňuje změny diskriminačním způsobem, který ovlivňuje přísněji některé technologie (vítr, slunce a nové hydro) nebo určité kategorie příjemců (například ty, kteří obdrželi také investiční podporu). Stěžovali si, že Rumunsko nebere v úvahu významný přínos, jež tyto technologie měly k dosažení střednědobých cílů obnovitelných zdrojů, ani konkrétní situaci příjemců, kteří obdrželi také investiční podporu. Tvrdilo se, že snížením/odložením určitého počtu zelených certifikátů, v absolutním vyjádření, by byl dopad mnohem těžší na ty příjemce, u nichž výše podpory byla již snížena na základě kumulačních pravidel. </w:t>
      </w:r>
    </w:p>
    <w:p w14:paraId="529B5F35" w14:textId="77777777" w:rsidR="00624A92" w:rsidRPr="00C07DEA" w:rsidRDefault="00624A92" w:rsidP="00624A92">
      <w:pPr>
        <w:spacing w:after="0" w:line="240" w:lineRule="auto"/>
        <w:jc w:val="both"/>
        <w:rPr>
          <w:i/>
          <w:sz w:val="24"/>
          <w:szCs w:val="24"/>
        </w:rPr>
      </w:pPr>
    </w:p>
    <w:p w14:paraId="2DA05AC2" w14:textId="77777777" w:rsidR="00624A92" w:rsidRPr="00C07DEA" w:rsidRDefault="00624A92" w:rsidP="00624A92">
      <w:pPr>
        <w:spacing w:after="0" w:line="240" w:lineRule="auto"/>
        <w:jc w:val="both"/>
        <w:rPr>
          <w:i/>
          <w:sz w:val="24"/>
          <w:szCs w:val="24"/>
        </w:rPr>
      </w:pPr>
      <w:r w:rsidRPr="00C07DEA">
        <w:rPr>
          <w:i/>
          <w:sz w:val="24"/>
          <w:szCs w:val="24"/>
        </w:rPr>
        <w:t>(78) Komise uvádí, že za určitých okolností mohou členské státy poskytnout podporu, a tato podpora může být považována za slučitelnou s vnitřním trhem. Členské státy však nemají povinnost poskytnout státní podporu. Z tohoto důvodu také nemají žádnou povinnost poskytovat podporu dostatečnou k zajištění minimální úrovně podpory příjemcům. Za určitých okolností lze kumulovat různé formy pomoci, pokud nevedou k překompenzaci. To ukazuje, že někdy určitá opatření podpory prováděná členským státem nemusí být dostatečná k dosažení požadovaných účinků.</w:t>
      </w:r>
    </w:p>
    <w:p w14:paraId="7BC68A88" w14:textId="77777777" w:rsidR="00624A92" w:rsidRPr="00C07DEA" w:rsidRDefault="00624A92" w:rsidP="00624A92">
      <w:pPr>
        <w:spacing w:after="0" w:line="240" w:lineRule="auto"/>
        <w:jc w:val="both"/>
        <w:rPr>
          <w:i/>
          <w:sz w:val="24"/>
          <w:szCs w:val="24"/>
        </w:rPr>
      </w:pPr>
    </w:p>
    <w:p w14:paraId="0ABD7D3E" w14:textId="77777777" w:rsidR="00624A92" w:rsidRPr="00C07DEA" w:rsidRDefault="00624A92" w:rsidP="00624A92">
      <w:pPr>
        <w:spacing w:after="0" w:line="240" w:lineRule="auto"/>
        <w:jc w:val="both"/>
        <w:rPr>
          <w:i/>
          <w:sz w:val="24"/>
          <w:szCs w:val="24"/>
        </w:rPr>
      </w:pPr>
      <w:r w:rsidRPr="00C07DEA">
        <w:rPr>
          <w:i/>
          <w:sz w:val="24"/>
          <w:szCs w:val="24"/>
        </w:rPr>
        <w:t>(96) V rámci rumunského systému podpory zelených certifikátů zajišťují pravidla kumulace, že každá dříve poskytnutá investiční podpora se odečítá od provozní podpory. Zelené certifikáty se podobají prémii, protože představují dodatečný zdroj příjmů kromě příjmů za elektřinu získanou příjemcem na trhu s elektřinou. Rumunsko potvrdilo, že příjemci mají standardní odpovědnost za odchylku. To bylo také potvrzeno od třetích stran. Již v současné době příjemci nedostávají zelené certifikáty za elektřinu dodané do sítě navíc k hodinových množstvím, jež výrobci uvedli pro TSO. Rumunsko konečně poskytlo závazek, že systém podpory bude upraven tak, aby zajistil, že žádná podpora nebude poskytována v případě negativních cen.</w:t>
      </w:r>
    </w:p>
    <w:p w14:paraId="227A747D" w14:textId="77777777" w:rsidR="00624A92" w:rsidRPr="00C07DEA" w:rsidRDefault="00624A92" w:rsidP="00624A92">
      <w:pPr>
        <w:spacing w:after="0" w:line="240" w:lineRule="auto"/>
        <w:jc w:val="both"/>
        <w:rPr>
          <w:i/>
          <w:sz w:val="24"/>
          <w:szCs w:val="24"/>
        </w:rPr>
      </w:pPr>
    </w:p>
    <w:p w14:paraId="4ED3A565" w14:textId="77777777" w:rsidR="00624A92" w:rsidRPr="00C07DEA" w:rsidRDefault="00624A92" w:rsidP="00624A92">
      <w:pPr>
        <w:spacing w:after="0" w:line="240" w:lineRule="auto"/>
        <w:jc w:val="both"/>
        <w:rPr>
          <w:i/>
          <w:sz w:val="24"/>
          <w:szCs w:val="24"/>
        </w:rPr>
      </w:pPr>
      <w:r w:rsidRPr="00C07DEA">
        <w:rPr>
          <w:i/>
          <w:sz w:val="24"/>
          <w:szCs w:val="24"/>
        </w:rPr>
        <w:t>(97) Na základě výše uvedených skutečnosti se Komise domnívá, že podmínky uvedené v bodě 137 EEAG jsou dodrženy.</w:t>
      </w:r>
    </w:p>
    <w:p w14:paraId="287CE032" w14:textId="77777777" w:rsidR="00624A92" w:rsidRPr="00C07DEA" w:rsidRDefault="00624A92" w:rsidP="00624A92">
      <w:pPr>
        <w:spacing w:after="0" w:line="240" w:lineRule="auto"/>
        <w:jc w:val="both"/>
        <w:rPr>
          <w:i/>
          <w:sz w:val="24"/>
          <w:szCs w:val="24"/>
        </w:rPr>
      </w:pPr>
    </w:p>
    <w:p w14:paraId="59B1A319" w14:textId="77777777" w:rsidR="00624A92" w:rsidRDefault="00624A92" w:rsidP="00624A92">
      <w:pPr>
        <w:pStyle w:val="Normlnweb"/>
        <w:spacing w:before="0" w:beforeAutospacing="0" w:after="0" w:afterAutospacing="0"/>
        <w:jc w:val="both"/>
        <w:rPr>
          <w:rFonts w:asciiTheme="minorHAnsi" w:hAnsiTheme="minorHAnsi"/>
          <w:i/>
        </w:rPr>
      </w:pPr>
    </w:p>
    <w:p w14:paraId="05570A4B" w14:textId="77777777" w:rsidR="00C07DEA" w:rsidRDefault="00C07DEA" w:rsidP="00624A92">
      <w:pPr>
        <w:pStyle w:val="Normlnweb"/>
        <w:spacing w:before="0" w:beforeAutospacing="0" w:after="0" w:afterAutospacing="0"/>
        <w:jc w:val="both"/>
        <w:rPr>
          <w:rFonts w:asciiTheme="minorHAnsi" w:hAnsiTheme="minorHAnsi"/>
          <w:i/>
        </w:rPr>
      </w:pPr>
    </w:p>
    <w:p w14:paraId="77328708" w14:textId="77777777" w:rsidR="00C07DEA" w:rsidRPr="00C07DEA" w:rsidRDefault="00C07DEA" w:rsidP="00624A92">
      <w:pPr>
        <w:pStyle w:val="Normlnweb"/>
        <w:spacing w:before="0" w:beforeAutospacing="0" w:after="0" w:afterAutospacing="0"/>
        <w:jc w:val="both"/>
        <w:rPr>
          <w:rFonts w:asciiTheme="minorHAnsi" w:hAnsiTheme="minorHAnsi"/>
          <w:i/>
        </w:rPr>
      </w:pPr>
    </w:p>
    <w:p w14:paraId="0ECAD41F" w14:textId="77777777" w:rsidR="00624A92" w:rsidRPr="00C07DEA" w:rsidRDefault="00624A92" w:rsidP="00624A92">
      <w:pPr>
        <w:pStyle w:val="Odstavecseseznamem"/>
        <w:spacing w:after="0"/>
        <w:ind w:left="0"/>
        <w:jc w:val="both"/>
        <w:rPr>
          <w:b/>
          <w:sz w:val="24"/>
          <w:szCs w:val="24"/>
          <w:u w:val="single"/>
        </w:rPr>
      </w:pPr>
      <w:r w:rsidRPr="00C07DEA">
        <w:rPr>
          <w:b/>
          <w:sz w:val="24"/>
          <w:szCs w:val="24"/>
        </w:rPr>
        <w:t xml:space="preserve">9.   </w:t>
      </w:r>
      <w:r w:rsidRPr="00C07DEA">
        <w:rPr>
          <w:b/>
          <w:sz w:val="24"/>
          <w:szCs w:val="24"/>
          <w:u w:val="single"/>
        </w:rPr>
        <w:t>Slovinsko - N 354/2009:</w:t>
      </w:r>
    </w:p>
    <w:p w14:paraId="16385B2B" w14:textId="77777777" w:rsidR="00624A92" w:rsidRPr="00C07DEA" w:rsidRDefault="00624A92" w:rsidP="00624A92">
      <w:pPr>
        <w:pStyle w:val="Normlnweb"/>
        <w:spacing w:before="0" w:beforeAutospacing="0" w:after="0" w:afterAutospacing="0"/>
        <w:jc w:val="both"/>
        <w:rPr>
          <w:rFonts w:asciiTheme="minorHAnsi" w:hAnsiTheme="minorHAnsi"/>
        </w:rPr>
      </w:pPr>
    </w:p>
    <w:p w14:paraId="0B0E330D" w14:textId="77777777" w:rsidR="00624A92" w:rsidRPr="00C07DEA" w:rsidRDefault="00624A92" w:rsidP="00624A92">
      <w:pPr>
        <w:pStyle w:val="Normlnweb"/>
        <w:spacing w:before="0" w:beforeAutospacing="0" w:after="0" w:afterAutospacing="0"/>
        <w:jc w:val="both"/>
        <w:rPr>
          <w:rFonts w:asciiTheme="minorHAnsi" w:hAnsiTheme="minorHAnsi"/>
          <w:u w:val="single"/>
        </w:rPr>
      </w:pPr>
      <w:r w:rsidRPr="00C07DEA">
        <w:rPr>
          <w:rFonts w:asciiTheme="minorHAnsi" w:hAnsiTheme="minorHAnsi"/>
          <w:u w:val="single"/>
        </w:rPr>
        <w:t>Vymezené období:</w:t>
      </w:r>
    </w:p>
    <w:p w14:paraId="3AC93691" w14:textId="77777777" w:rsidR="00624A92" w:rsidRPr="00C07DEA" w:rsidRDefault="00624A92" w:rsidP="00624A92">
      <w:pPr>
        <w:pStyle w:val="Normlnweb"/>
        <w:spacing w:before="0" w:beforeAutospacing="0" w:after="0" w:afterAutospacing="0"/>
        <w:jc w:val="both"/>
        <w:rPr>
          <w:rFonts w:asciiTheme="minorHAnsi" w:hAnsiTheme="minorHAnsi"/>
          <w:u w:val="single"/>
        </w:rPr>
      </w:pPr>
    </w:p>
    <w:p w14:paraId="543F1F08" w14:textId="77777777" w:rsidR="00624A92" w:rsidRPr="00C07DEA" w:rsidRDefault="00624A92" w:rsidP="00624A92">
      <w:pPr>
        <w:spacing w:after="0" w:line="240" w:lineRule="auto"/>
        <w:jc w:val="both"/>
        <w:rPr>
          <w:sz w:val="24"/>
          <w:szCs w:val="24"/>
          <w:u w:val="single"/>
        </w:rPr>
      </w:pPr>
      <w:r w:rsidRPr="00C07DEA">
        <w:rPr>
          <w:sz w:val="24"/>
          <w:szCs w:val="24"/>
        </w:rPr>
        <w:t>N 354/2009: 12.7.2009-31.12.2020</w:t>
      </w:r>
    </w:p>
    <w:p w14:paraId="14966541" w14:textId="77777777" w:rsidR="00624A92" w:rsidRPr="00C07DEA" w:rsidRDefault="00624A92" w:rsidP="00624A92">
      <w:pPr>
        <w:pStyle w:val="Normlnweb"/>
        <w:spacing w:before="0" w:beforeAutospacing="0" w:after="0" w:afterAutospacing="0"/>
        <w:jc w:val="both"/>
        <w:rPr>
          <w:rFonts w:asciiTheme="minorHAnsi" w:hAnsiTheme="minorHAnsi"/>
          <w:u w:val="single"/>
        </w:rPr>
      </w:pPr>
    </w:p>
    <w:p w14:paraId="68B71EF1" w14:textId="77777777" w:rsidR="00624A92" w:rsidRPr="00C07DEA" w:rsidRDefault="00624A92" w:rsidP="00624A92">
      <w:pPr>
        <w:pStyle w:val="Normlnweb"/>
        <w:spacing w:before="0" w:beforeAutospacing="0" w:after="0" w:afterAutospacing="0"/>
        <w:jc w:val="both"/>
        <w:rPr>
          <w:rFonts w:asciiTheme="minorHAnsi" w:hAnsiTheme="minorHAnsi"/>
          <w:u w:val="single"/>
        </w:rPr>
      </w:pPr>
      <w:r w:rsidRPr="00C07DEA">
        <w:rPr>
          <w:rFonts w:asciiTheme="minorHAnsi" w:hAnsiTheme="minorHAnsi"/>
          <w:u w:val="single"/>
        </w:rPr>
        <w:t>Překompenzace</w:t>
      </w:r>
    </w:p>
    <w:p w14:paraId="542AE375" w14:textId="77777777" w:rsidR="00624A92" w:rsidRPr="00C07DEA" w:rsidRDefault="00624A92" w:rsidP="00624A92">
      <w:pPr>
        <w:pStyle w:val="Normlnweb"/>
        <w:spacing w:before="0" w:beforeAutospacing="0" w:after="0" w:afterAutospacing="0"/>
        <w:jc w:val="both"/>
        <w:rPr>
          <w:rFonts w:asciiTheme="minorHAnsi" w:hAnsiTheme="minorHAnsi"/>
        </w:rPr>
      </w:pPr>
    </w:p>
    <w:p w14:paraId="0C64EC87" w14:textId="77777777" w:rsidR="00624A92" w:rsidRPr="00C07DEA" w:rsidRDefault="00624A92" w:rsidP="00624A92">
      <w:pPr>
        <w:pStyle w:val="Normlnweb"/>
        <w:spacing w:before="0" w:beforeAutospacing="0" w:after="0" w:afterAutospacing="0"/>
        <w:jc w:val="both"/>
        <w:rPr>
          <w:rFonts w:asciiTheme="minorHAnsi" w:hAnsiTheme="minorHAnsi"/>
          <w:i/>
        </w:rPr>
      </w:pPr>
      <w:r w:rsidRPr="00C07DEA">
        <w:rPr>
          <w:rFonts w:asciiTheme="minorHAnsi" w:hAnsiTheme="minorHAnsi"/>
          <w:i/>
        </w:rPr>
        <w:t>V rozhodnutí není uvedeno.</w:t>
      </w:r>
    </w:p>
    <w:p w14:paraId="16D2B589" w14:textId="77777777" w:rsidR="00624A92" w:rsidRPr="00C07DEA" w:rsidRDefault="00624A92" w:rsidP="00624A92">
      <w:pPr>
        <w:pStyle w:val="Normlnweb"/>
        <w:spacing w:before="0" w:beforeAutospacing="0" w:after="0" w:afterAutospacing="0"/>
        <w:jc w:val="both"/>
        <w:rPr>
          <w:rFonts w:asciiTheme="minorHAnsi" w:hAnsiTheme="minorHAnsi"/>
          <w:u w:val="single"/>
        </w:rPr>
      </w:pPr>
    </w:p>
    <w:p w14:paraId="2C8B0EFB" w14:textId="77777777" w:rsidR="00624A92" w:rsidRPr="00C07DEA" w:rsidRDefault="00624A92" w:rsidP="00624A92">
      <w:pPr>
        <w:pStyle w:val="Normlnweb"/>
        <w:spacing w:before="0" w:beforeAutospacing="0" w:after="0" w:afterAutospacing="0"/>
        <w:jc w:val="both"/>
        <w:rPr>
          <w:rFonts w:asciiTheme="minorHAnsi" w:hAnsiTheme="minorHAnsi"/>
          <w:u w:val="single"/>
        </w:rPr>
      </w:pPr>
      <w:r w:rsidRPr="00C07DEA">
        <w:rPr>
          <w:rFonts w:asciiTheme="minorHAnsi" w:hAnsiTheme="minorHAnsi"/>
          <w:u w:val="single"/>
        </w:rPr>
        <w:t>Monitoring podpory:</w:t>
      </w:r>
    </w:p>
    <w:p w14:paraId="6DCA6E3A" w14:textId="77777777" w:rsidR="00624A92" w:rsidRPr="00C07DEA" w:rsidRDefault="00624A92" w:rsidP="00624A92">
      <w:pPr>
        <w:pStyle w:val="Normlnweb"/>
        <w:spacing w:before="0" w:beforeAutospacing="0" w:after="0" w:afterAutospacing="0"/>
        <w:jc w:val="both"/>
        <w:rPr>
          <w:rFonts w:asciiTheme="minorHAnsi" w:hAnsiTheme="minorHAnsi"/>
        </w:rPr>
      </w:pPr>
    </w:p>
    <w:p w14:paraId="09F38602" w14:textId="77777777" w:rsidR="00624A92" w:rsidRPr="00C07DEA" w:rsidRDefault="00624A92" w:rsidP="00624A92">
      <w:pPr>
        <w:pStyle w:val="Normlnweb"/>
        <w:spacing w:before="0" w:beforeAutospacing="0" w:after="0" w:afterAutospacing="0"/>
        <w:jc w:val="both"/>
        <w:rPr>
          <w:rFonts w:asciiTheme="minorHAnsi" w:hAnsiTheme="minorHAnsi"/>
          <w:i/>
          <w:u w:val="single"/>
        </w:rPr>
      </w:pPr>
      <w:r w:rsidRPr="00C07DEA">
        <w:rPr>
          <w:rFonts w:asciiTheme="minorHAnsi" w:hAnsiTheme="minorHAnsi"/>
          <w:i/>
        </w:rPr>
        <w:t>(49) Podle energetického zákona je energetická agentura povinna nejméně jednou za rok vypracovat přehled o situaci na trhu s energií a prognózy podmínek pro nadcházející rok. Na základě tohoto posouzení jsou kontrolovány úrovně podpory. Změny úrovně podpor jsou uvedeny v přílohách smluv uzavřených mezi Centrem pro podporu a příjemci. V případě, že předpokládané tržní cena je vyšší než výrobní náklady (RCE) jednotlivých typů a velikostí zařízení, pak pro dané období, dokud opět změní podmínky, stávající zařízení nejsou způsobilá pro jakoukoliv podporu v rámci oznámeného opatření.</w:t>
      </w:r>
    </w:p>
    <w:p w14:paraId="5E68B398" w14:textId="77777777" w:rsidR="00624A92" w:rsidRPr="00C07DEA" w:rsidRDefault="00624A92" w:rsidP="00624A92">
      <w:pPr>
        <w:pStyle w:val="Normlnweb"/>
        <w:spacing w:before="0" w:beforeAutospacing="0" w:after="0" w:afterAutospacing="0"/>
        <w:jc w:val="both"/>
        <w:rPr>
          <w:rFonts w:asciiTheme="minorHAnsi" w:hAnsiTheme="minorHAnsi"/>
          <w:u w:val="single"/>
        </w:rPr>
      </w:pPr>
    </w:p>
    <w:p w14:paraId="71BEC940" w14:textId="77777777" w:rsidR="00624A92" w:rsidRPr="00C07DEA" w:rsidRDefault="00624A92" w:rsidP="00624A92">
      <w:pPr>
        <w:pStyle w:val="Normlnweb"/>
        <w:spacing w:before="0" w:beforeAutospacing="0" w:after="0" w:afterAutospacing="0"/>
        <w:jc w:val="both"/>
        <w:rPr>
          <w:rFonts w:asciiTheme="minorHAnsi" w:hAnsiTheme="minorHAnsi"/>
          <w:u w:val="single"/>
        </w:rPr>
      </w:pPr>
      <w:r w:rsidRPr="00C07DEA">
        <w:rPr>
          <w:rFonts w:asciiTheme="minorHAnsi" w:hAnsiTheme="minorHAnsi"/>
          <w:u w:val="single"/>
        </w:rPr>
        <w:t>Hodnoty IRR:</w:t>
      </w:r>
    </w:p>
    <w:p w14:paraId="3F3B7FD5" w14:textId="77777777" w:rsidR="00624A92" w:rsidRPr="00C07DEA" w:rsidRDefault="00624A92" w:rsidP="00624A92">
      <w:pPr>
        <w:pStyle w:val="Normlnweb"/>
        <w:spacing w:before="0" w:beforeAutospacing="0" w:after="0" w:afterAutospacing="0"/>
        <w:jc w:val="both"/>
        <w:rPr>
          <w:rFonts w:asciiTheme="minorHAnsi" w:hAnsiTheme="minorHAnsi"/>
          <w:u w:val="single"/>
        </w:rPr>
      </w:pPr>
    </w:p>
    <w:p w14:paraId="68A3D14A" w14:textId="150A2F56" w:rsidR="00624A92" w:rsidRPr="00C07DEA" w:rsidRDefault="00624A92" w:rsidP="00624A92">
      <w:pPr>
        <w:spacing w:after="0" w:line="240" w:lineRule="auto"/>
        <w:jc w:val="both"/>
        <w:rPr>
          <w:i/>
          <w:sz w:val="24"/>
          <w:szCs w:val="24"/>
        </w:rPr>
      </w:pPr>
      <w:r w:rsidRPr="00C07DEA">
        <w:rPr>
          <w:i/>
          <w:sz w:val="24"/>
          <w:szCs w:val="24"/>
        </w:rPr>
        <w:t xml:space="preserve">Uvedené hodnoty IRR v  rozhodnutí </w:t>
      </w:r>
      <w:r w:rsidR="00BD4871" w:rsidRPr="00C07DEA">
        <w:rPr>
          <w:i/>
          <w:sz w:val="24"/>
          <w:szCs w:val="24"/>
        </w:rPr>
        <w:t xml:space="preserve">Evropské komise </w:t>
      </w:r>
      <w:r w:rsidRPr="00C07DEA">
        <w:rPr>
          <w:i/>
          <w:sz w:val="24"/>
          <w:szCs w:val="24"/>
        </w:rPr>
        <w:t>byla ve výši  6,4% - 12% (bod 44).</w:t>
      </w:r>
    </w:p>
    <w:p w14:paraId="6FA0E596" w14:textId="77777777" w:rsidR="00624A92" w:rsidRPr="00C07DEA" w:rsidRDefault="00624A92" w:rsidP="00624A92">
      <w:pPr>
        <w:pStyle w:val="Normlnweb"/>
        <w:spacing w:before="0" w:beforeAutospacing="0" w:after="0" w:afterAutospacing="0"/>
        <w:jc w:val="both"/>
        <w:rPr>
          <w:rFonts w:asciiTheme="minorHAnsi" w:hAnsiTheme="minorHAnsi"/>
        </w:rPr>
      </w:pPr>
    </w:p>
    <w:p w14:paraId="0A94A64E" w14:textId="77777777" w:rsidR="00624A92" w:rsidRPr="00C07DEA" w:rsidRDefault="00624A92" w:rsidP="00624A92">
      <w:pPr>
        <w:pStyle w:val="Normlnweb"/>
        <w:spacing w:before="0" w:beforeAutospacing="0" w:after="0" w:afterAutospacing="0"/>
        <w:jc w:val="both"/>
        <w:rPr>
          <w:rFonts w:asciiTheme="minorHAnsi" w:hAnsiTheme="minorHAnsi"/>
          <w:u w:val="single"/>
        </w:rPr>
      </w:pPr>
      <w:r w:rsidRPr="00C07DEA">
        <w:rPr>
          <w:rFonts w:asciiTheme="minorHAnsi" w:hAnsiTheme="minorHAnsi"/>
          <w:u w:val="single"/>
        </w:rPr>
        <w:t>Kumulace podpor:</w:t>
      </w:r>
    </w:p>
    <w:p w14:paraId="03BCA6BA" w14:textId="77777777" w:rsidR="00624A92" w:rsidRPr="00C07DEA" w:rsidRDefault="00624A92" w:rsidP="00624A92">
      <w:pPr>
        <w:pStyle w:val="Normlnweb"/>
        <w:spacing w:before="0" w:beforeAutospacing="0" w:after="0" w:afterAutospacing="0"/>
        <w:jc w:val="both"/>
        <w:rPr>
          <w:rFonts w:asciiTheme="minorHAnsi" w:hAnsiTheme="minorHAnsi"/>
        </w:rPr>
      </w:pPr>
    </w:p>
    <w:p w14:paraId="7754DD5F" w14:textId="77777777" w:rsidR="00624A92" w:rsidRPr="00C07DEA" w:rsidRDefault="00624A92" w:rsidP="00624A92">
      <w:pPr>
        <w:pStyle w:val="Normlnweb"/>
        <w:spacing w:before="0" w:beforeAutospacing="0" w:after="0" w:afterAutospacing="0"/>
        <w:jc w:val="both"/>
        <w:rPr>
          <w:rFonts w:asciiTheme="minorHAnsi" w:hAnsiTheme="minorHAnsi"/>
          <w:i/>
        </w:rPr>
      </w:pPr>
      <w:r w:rsidRPr="00C07DEA">
        <w:rPr>
          <w:rFonts w:asciiTheme="minorHAnsi" w:hAnsiTheme="minorHAnsi"/>
          <w:i/>
        </w:rPr>
        <w:t>(55) V případě, že zařízení pobírá jinou podporu po poskytnutí podpory v rámci oznámeného opatření, je příjemce povinen informovat energetickou agenturu, která v závislosti na jednotlivých případech posoudí přípustnost kumulace a přiměřeně sníží úroveň již schválené/ poskytnuté podpory v rámci oznámeného opatření. Slovinské orgány potvrdily v této souvislosti, že veškeré investiční podpory poskytnuté před nebo následně po posuzované podpoře budou odečteny z podpory, která má být poskytnuta v rámci oznámeného opatření.</w:t>
      </w:r>
    </w:p>
    <w:p w14:paraId="0DBD815F" w14:textId="77777777" w:rsidR="00624A92" w:rsidRPr="00C07DEA" w:rsidRDefault="00624A92" w:rsidP="00624A92">
      <w:pPr>
        <w:pStyle w:val="Normlnweb"/>
        <w:spacing w:before="0" w:beforeAutospacing="0" w:after="0" w:afterAutospacing="0"/>
        <w:jc w:val="both"/>
        <w:rPr>
          <w:rFonts w:asciiTheme="minorHAnsi" w:hAnsiTheme="minorHAnsi"/>
          <w:i/>
        </w:rPr>
      </w:pPr>
    </w:p>
    <w:p w14:paraId="56169EE6" w14:textId="77777777" w:rsidR="00624A92" w:rsidRPr="00C07DEA" w:rsidRDefault="00624A92" w:rsidP="00624A92">
      <w:pPr>
        <w:pStyle w:val="Normlnweb"/>
        <w:spacing w:before="0" w:beforeAutospacing="0" w:after="0" w:afterAutospacing="0"/>
        <w:jc w:val="both"/>
        <w:rPr>
          <w:rFonts w:asciiTheme="minorHAnsi" w:hAnsiTheme="minorHAnsi"/>
          <w:i/>
        </w:rPr>
      </w:pPr>
    </w:p>
    <w:p w14:paraId="3CDAD238" w14:textId="77777777" w:rsidR="00624A92" w:rsidRPr="00C07DEA" w:rsidRDefault="00624A92" w:rsidP="00624A92">
      <w:pPr>
        <w:pStyle w:val="Odstavecseseznamem"/>
        <w:spacing w:after="0"/>
        <w:ind w:left="0"/>
        <w:jc w:val="both"/>
        <w:rPr>
          <w:b/>
          <w:sz w:val="24"/>
          <w:szCs w:val="24"/>
          <w:u w:val="single"/>
        </w:rPr>
      </w:pPr>
      <w:r w:rsidRPr="00C07DEA">
        <w:rPr>
          <w:b/>
          <w:sz w:val="24"/>
          <w:szCs w:val="24"/>
        </w:rPr>
        <w:t xml:space="preserve">10.   </w:t>
      </w:r>
      <w:r w:rsidRPr="00C07DEA">
        <w:rPr>
          <w:b/>
          <w:sz w:val="24"/>
          <w:szCs w:val="24"/>
          <w:u w:val="single"/>
        </w:rPr>
        <w:t>Ostatní členské státy:</w:t>
      </w:r>
    </w:p>
    <w:p w14:paraId="31BF8111" w14:textId="77777777" w:rsidR="00624A92" w:rsidRPr="00C07DEA" w:rsidRDefault="00624A92" w:rsidP="00624A92">
      <w:pPr>
        <w:pStyle w:val="Normlnweb"/>
        <w:spacing w:before="0" w:beforeAutospacing="0" w:after="0" w:afterAutospacing="0"/>
        <w:jc w:val="both"/>
        <w:rPr>
          <w:rFonts w:asciiTheme="minorHAnsi" w:hAnsiTheme="minorHAnsi"/>
        </w:rPr>
      </w:pPr>
    </w:p>
    <w:p w14:paraId="25A5573B" w14:textId="6812D6F7" w:rsidR="00432249" w:rsidRPr="00D06AC6" w:rsidRDefault="00624A92" w:rsidP="006F176B">
      <w:pPr>
        <w:tabs>
          <w:tab w:val="left" w:pos="6640"/>
        </w:tabs>
        <w:spacing w:after="0" w:line="240" w:lineRule="auto"/>
        <w:jc w:val="both"/>
        <w:rPr>
          <w:b/>
          <w:sz w:val="24"/>
          <w:szCs w:val="24"/>
        </w:rPr>
      </w:pPr>
      <w:r w:rsidRPr="00C07DEA">
        <w:rPr>
          <w:rFonts w:cstheme="minorHAnsi"/>
          <w:sz w:val="24"/>
          <w:szCs w:val="24"/>
        </w:rPr>
        <w:t>V ostatních členských státech nebylo zatím žádné rozhodnutí</w:t>
      </w:r>
      <w:r w:rsidR="00BD4871" w:rsidRPr="00C07DEA">
        <w:rPr>
          <w:rFonts w:cstheme="minorHAnsi"/>
          <w:sz w:val="24"/>
          <w:szCs w:val="24"/>
        </w:rPr>
        <w:t xml:space="preserve"> Evropské komise </w:t>
      </w:r>
      <w:r w:rsidRPr="00C07DEA">
        <w:rPr>
          <w:rFonts w:cstheme="minorHAnsi"/>
          <w:sz w:val="24"/>
          <w:szCs w:val="24"/>
        </w:rPr>
        <w:t xml:space="preserve">, týkající se provozní podpory pro OZE vydáno (viz. například Slovensko) nebo rozhodnutí </w:t>
      </w:r>
      <w:r w:rsidR="00BD4871" w:rsidRPr="00C07DEA">
        <w:rPr>
          <w:rFonts w:cstheme="minorHAnsi"/>
          <w:sz w:val="24"/>
          <w:szCs w:val="24"/>
        </w:rPr>
        <w:t xml:space="preserve">Evropské komise </w:t>
      </w:r>
      <w:r w:rsidRPr="00C07DEA">
        <w:rPr>
          <w:rFonts w:cstheme="minorHAnsi"/>
          <w:sz w:val="24"/>
          <w:szCs w:val="24"/>
        </w:rPr>
        <w:t>nebylo ve věstníku E</w:t>
      </w:r>
      <w:r w:rsidR="004D668D" w:rsidRPr="00C07DEA">
        <w:rPr>
          <w:rFonts w:cstheme="minorHAnsi"/>
          <w:sz w:val="24"/>
          <w:szCs w:val="24"/>
        </w:rPr>
        <w:t>vropské komise</w:t>
      </w:r>
      <w:r w:rsidRPr="00C07DEA">
        <w:rPr>
          <w:rFonts w:cstheme="minorHAnsi"/>
          <w:sz w:val="24"/>
          <w:szCs w:val="24"/>
        </w:rPr>
        <w:t xml:space="preserve"> dohledáno </w:t>
      </w:r>
      <w:r w:rsidR="004D668D" w:rsidRPr="00C07DEA">
        <w:rPr>
          <w:rFonts w:cstheme="minorHAnsi"/>
          <w:sz w:val="24"/>
          <w:szCs w:val="24"/>
        </w:rPr>
        <w:t xml:space="preserve">nebo nebylo do současné doby zveřejněno </w:t>
      </w:r>
      <w:r w:rsidRPr="00C07DEA">
        <w:rPr>
          <w:rFonts w:cstheme="minorHAnsi"/>
          <w:sz w:val="24"/>
          <w:szCs w:val="24"/>
        </w:rPr>
        <w:t xml:space="preserve">například z důvodu </w:t>
      </w:r>
      <w:r w:rsidR="004D668D" w:rsidRPr="00C07DEA">
        <w:rPr>
          <w:rFonts w:cstheme="minorHAnsi"/>
          <w:sz w:val="24"/>
          <w:szCs w:val="24"/>
        </w:rPr>
        <w:t xml:space="preserve">probíhajícího </w:t>
      </w:r>
      <w:r w:rsidRPr="00C07DEA">
        <w:rPr>
          <w:rFonts w:cstheme="minorHAnsi"/>
          <w:sz w:val="24"/>
          <w:szCs w:val="24"/>
        </w:rPr>
        <w:t xml:space="preserve">vyznačení důvěrných informací. </w:t>
      </w:r>
    </w:p>
    <w:p w14:paraId="53103831" w14:textId="77777777" w:rsidR="00432249" w:rsidRPr="00D06AC6" w:rsidRDefault="00432249" w:rsidP="006F176B">
      <w:pPr>
        <w:tabs>
          <w:tab w:val="left" w:pos="6640"/>
        </w:tabs>
        <w:spacing w:after="0" w:line="240" w:lineRule="auto"/>
        <w:jc w:val="both"/>
        <w:rPr>
          <w:b/>
          <w:sz w:val="24"/>
          <w:szCs w:val="24"/>
        </w:rPr>
      </w:pPr>
    </w:p>
    <w:p w14:paraId="0DFBEEE3" w14:textId="77777777" w:rsidR="00432249" w:rsidRPr="00D06AC6" w:rsidRDefault="00432249" w:rsidP="006F176B">
      <w:pPr>
        <w:tabs>
          <w:tab w:val="left" w:pos="6640"/>
        </w:tabs>
        <w:spacing w:after="0" w:line="240" w:lineRule="auto"/>
        <w:jc w:val="both"/>
        <w:rPr>
          <w:b/>
          <w:sz w:val="24"/>
          <w:szCs w:val="24"/>
        </w:rPr>
      </w:pPr>
    </w:p>
    <w:p w14:paraId="7FF940A9" w14:textId="77777777" w:rsidR="00432249" w:rsidRPr="00D06AC6" w:rsidRDefault="00432249" w:rsidP="00432249">
      <w:pPr>
        <w:tabs>
          <w:tab w:val="left" w:pos="6640"/>
        </w:tabs>
        <w:spacing w:after="0" w:line="240" w:lineRule="auto"/>
        <w:jc w:val="both"/>
        <w:rPr>
          <w:sz w:val="24"/>
          <w:szCs w:val="24"/>
        </w:rPr>
      </w:pPr>
    </w:p>
    <w:sectPr w:rsidR="00432249" w:rsidRPr="00D06AC6">
      <w:footerReference w:type="default" r:id="rId21"/>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E51F64" w14:textId="77777777" w:rsidR="002808B0" w:rsidRDefault="002808B0">
      <w:pPr>
        <w:spacing w:after="0" w:line="240" w:lineRule="auto"/>
      </w:pPr>
      <w:r>
        <w:separator/>
      </w:r>
    </w:p>
  </w:endnote>
  <w:endnote w:type="continuationSeparator" w:id="0">
    <w:p w14:paraId="1982AF5F" w14:textId="77777777" w:rsidR="002808B0" w:rsidRDefault="00280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ArialMT">
    <w:altName w:val="Arial Unicode MS"/>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7BE06" w14:textId="772428E5" w:rsidR="00034AD2" w:rsidRDefault="00034AD2">
    <w:pPr>
      <w:pStyle w:val="Zpat"/>
      <w:jc w:val="center"/>
    </w:pPr>
    <w:r>
      <w:fldChar w:fldCharType="begin"/>
    </w:r>
    <w:r>
      <w:instrText>PAGE   \* MERGEFORMAT</w:instrText>
    </w:r>
    <w:r>
      <w:fldChar w:fldCharType="separate"/>
    </w:r>
    <w:r w:rsidR="00BD66CE">
      <w:rPr>
        <w:noProof/>
      </w:rPr>
      <w:t>4</w:t>
    </w:r>
    <w:r>
      <w:fldChar w:fldCharType="end"/>
    </w:r>
  </w:p>
  <w:p w14:paraId="55E1A280" w14:textId="77777777" w:rsidR="00034AD2" w:rsidRDefault="00034AD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29A739" w14:textId="77777777" w:rsidR="002808B0" w:rsidRDefault="002808B0">
      <w:pPr>
        <w:spacing w:after="0" w:line="240" w:lineRule="auto"/>
      </w:pPr>
      <w:r>
        <w:separator/>
      </w:r>
    </w:p>
  </w:footnote>
  <w:footnote w:type="continuationSeparator" w:id="0">
    <w:p w14:paraId="1C6AB7D9" w14:textId="77777777" w:rsidR="002808B0" w:rsidRDefault="002808B0">
      <w:pPr>
        <w:spacing w:after="0" w:line="240" w:lineRule="auto"/>
      </w:pPr>
      <w:r>
        <w:continuationSeparator/>
      </w:r>
    </w:p>
  </w:footnote>
  <w:footnote w:id="1">
    <w:p w14:paraId="3D1C8196" w14:textId="77777777" w:rsidR="00034AD2" w:rsidRPr="00FD48F4" w:rsidRDefault="00034AD2" w:rsidP="001F27C6">
      <w:pPr>
        <w:pStyle w:val="Textpoznpodarou"/>
        <w:ind w:left="142" w:hanging="142"/>
        <w:jc w:val="both"/>
        <w:rPr>
          <w:rFonts w:cs="Times New Roman"/>
        </w:rPr>
      </w:pPr>
      <w:r w:rsidRPr="00FD48F4">
        <w:rPr>
          <w:rStyle w:val="Znakapoznpodarou"/>
          <w:rFonts w:cs="Times New Roman"/>
        </w:rPr>
        <w:footnoteRef/>
      </w:r>
      <w:r w:rsidRPr="00FD48F4">
        <w:rPr>
          <w:rFonts w:cs="Times New Roman"/>
        </w:rPr>
        <w:t xml:space="preserve"> Za účelem poskytnutí dostatku času potřebného ke schválení nezbytných zákonů a prováděcích ustanovení bude kontrolní mechanismus pro zařízení uvedená do provozu v období 2006–2008 proveden do konce února 2019.</w:t>
      </w:r>
    </w:p>
  </w:footnote>
  <w:footnote w:id="2">
    <w:p w14:paraId="09A436E1" w14:textId="77777777" w:rsidR="00034AD2" w:rsidRPr="00B472C8" w:rsidRDefault="00034AD2" w:rsidP="001F27C6">
      <w:pPr>
        <w:pStyle w:val="Textpoznpodarou"/>
        <w:ind w:left="142" w:hanging="142"/>
        <w:jc w:val="both"/>
        <w:rPr>
          <w:rFonts w:ascii="Times New Roman" w:hAnsi="Times New Roman" w:cs="Times New Roman"/>
        </w:rPr>
      </w:pPr>
      <w:r w:rsidRPr="00FD48F4">
        <w:rPr>
          <w:rStyle w:val="Znakapoznpodarou"/>
          <w:rFonts w:cs="Times New Roman"/>
        </w:rPr>
        <w:footnoteRef/>
      </w:r>
      <w:r w:rsidRPr="00FD48F4">
        <w:rPr>
          <w:rFonts w:cs="Times New Roman"/>
        </w:rPr>
        <w:t xml:space="preserve"> Při provádění přezkumu podpory budou české orgány zveřejňovat a uplatňovat stejnou metodiku pro stanovení reálné výše návratnosti pro různé skupiny příjemců, tzn. zohlednění nákladů každé skupiny příjemců, která byla použita při původním stanovení výše podpory. Přezkum podpory bude prováděn na úrovni jednotlivých zařízení pouze v případech, kdy došlo ke kumulaci podpory podle oznámeného režimu s investiční podporou či jiným typem provozní podpory. V ostatních případech bude přezkum prováděn na základě reprezentativního vzorku různých kategorií zařízení, čímž se zajistí, že jsou řádně zohledněny náklady příjemce.</w:t>
      </w:r>
    </w:p>
  </w:footnote>
  <w:footnote w:id="3">
    <w:p w14:paraId="7BDA11FA" w14:textId="77777777" w:rsidR="00034AD2" w:rsidRPr="00FD48F4" w:rsidRDefault="00034AD2" w:rsidP="00E95EAA">
      <w:pPr>
        <w:pStyle w:val="Textpoznpodarou"/>
        <w:ind w:left="142" w:hanging="142"/>
        <w:jc w:val="both"/>
        <w:rPr>
          <w:rFonts w:cs="Times New Roman"/>
        </w:rPr>
      </w:pPr>
      <w:r w:rsidRPr="00FD48F4">
        <w:rPr>
          <w:rStyle w:val="Znakapoznpodarou"/>
          <w:rFonts w:cs="Times New Roman"/>
        </w:rPr>
        <w:footnoteRef/>
      </w:r>
      <w:r w:rsidRPr="00FD48F4">
        <w:rPr>
          <w:rFonts w:cs="Times New Roman"/>
        </w:rPr>
        <w:t xml:space="preserve"> Nařízení Komise č. 1407/2013 ze dne 18. prosince 2013 o použití článků 107 a 108 Smlouvy o fungování Evropské unie ohledně podpory </w:t>
      </w:r>
      <w:r w:rsidRPr="00FD48F4">
        <w:rPr>
          <w:rFonts w:cs="Times New Roman"/>
          <w:i/>
        </w:rPr>
        <w:t>de minimis</w:t>
      </w:r>
      <w:r w:rsidRPr="00FD48F4">
        <w:rPr>
          <w:rFonts w:cs="Times New Roman"/>
        </w:rPr>
        <w:t xml:space="preserve"> (Úř. věst. L 352, 24.12.2013, s. 1).</w:t>
      </w:r>
    </w:p>
  </w:footnote>
  <w:footnote w:id="4">
    <w:p w14:paraId="1DC9C4C4" w14:textId="77777777" w:rsidR="00034AD2" w:rsidRPr="00EA69C1" w:rsidRDefault="00034AD2" w:rsidP="00DA3320">
      <w:pPr>
        <w:pStyle w:val="Textpoznpodarou"/>
        <w:rPr>
          <w:lang w:val="cs-CZ"/>
        </w:rPr>
      </w:pPr>
      <w:r>
        <w:rPr>
          <w:rStyle w:val="Znakapoznpodarou"/>
        </w:rPr>
        <w:footnoteRef/>
      </w:r>
      <w:r w:rsidRPr="00EA69C1">
        <w:rPr>
          <w:lang w:val="cs-CZ"/>
        </w:rPr>
        <w:t xml:space="preserve"> </w:t>
      </w:r>
      <w:r w:rsidRPr="00EA69C1">
        <w:rPr>
          <w:rFonts w:ascii="Times New Roman" w:hAnsi="Times New Roman" w:cs="Times New Roman"/>
          <w:sz w:val="18"/>
          <w:szCs w:val="18"/>
          <w:lang w:val="cs-CZ"/>
        </w:rPr>
        <w:t>Investiční podpora poskytovaná příjemcům na základě oznámeného opatření nespadá do působnosti tohoto rozhodnutí.</w:t>
      </w:r>
    </w:p>
  </w:footnote>
  <w:footnote w:id="5">
    <w:p w14:paraId="6B9E8CD6" w14:textId="2B3062C0" w:rsidR="00034AD2" w:rsidRPr="00622CCC" w:rsidRDefault="00034AD2" w:rsidP="00622CCC">
      <w:pPr>
        <w:pStyle w:val="Textpoznpodarou"/>
        <w:spacing w:after="100" w:afterAutospacing="1"/>
        <w:jc w:val="both"/>
        <w:rPr>
          <w:lang w:val="cs-CZ"/>
        </w:rPr>
      </w:pPr>
      <w:r>
        <w:rPr>
          <w:rStyle w:val="Znakapoznpodarou"/>
        </w:rPr>
        <w:footnoteRef/>
      </w:r>
      <w:r>
        <w:t xml:space="preserve"> </w:t>
      </w:r>
      <w:r w:rsidRPr="00622CCC">
        <w:t>Pojem „jeden podnik“ („propojený podnik“) odpovídá hospodářské situaci podniků, které tvoří skupinu podniků prostřednictvím přímého či nepřímého ovládání většiny hlasovacích práv podniku jiným podnikem nebo možností uplatňovat rozhodující vliv na jiný podnik – viz čl. 2, odst. 2 Nařízení Komise č. 1407/2013.</w:t>
      </w:r>
    </w:p>
  </w:footnote>
  <w:footnote w:id="6">
    <w:p w14:paraId="0074A121" w14:textId="07879664" w:rsidR="00034AD2" w:rsidRPr="00622CCC" w:rsidRDefault="00034AD2" w:rsidP="00622CCC">
      <w:pPr>
        <w:spacing w:after="100" w:afterAutospacing="1" w:line="240" w:lineRule="auto"/>
        <w:jc w:val="both"/>
        <w:rPr>
          <w:sz w:val="20"/>
        </w:rPr>
      </w:pPr>
      <w:r w:rsidRPr="00622CCC">
        <w:rPr>
          <w:rStyle w:val="Znakapoznpodarou"/>
          <w:sz w:val="20"/>
        </w:rPr>
        <w:footnoteRef/>
      </w:r>
      <w:r w:rsidRPr="00622CCC">
        <w:rPr>
          <w:sz w:val="20"/>
        </w:rPr>
        <w:t xml:space="preserve"> V rámci vymezení hranice de minimis existuje nařízení Komise, které se týká vymezování hodnoty de minimis pro zemědělské subjekty a které není uvedeno v závazcích v rozhodnutích SA. 40171 a SA. 35177. Jedná se o nařízení Komise č. 1408/2013 ze dne 18. prosince 2013 o použití článků 107 a 108 Smlouvy o fungování Evropské unie na podporu de minimis v odvětví zemědělství. V uvedeném nařízení Komise je limit podpory de minimis v stanoven hodnotě 15 tis. Euro za 3 roky. Podpora výroby elektřiny spadá do oblasti působnosti Nařízení 1407/2013, a tato činnost (ať už jde o jakýkoli podnik) má limit podpory de minimis 200 tisíc EUR/3 účetní období. Pokud příjemce podpory (= „jeden podnik“) působí také v odvětví zemědělské prvovýroby (nebo v jiném odvětví vyloučeném z působnosti Nařízení 1407/2013 – viz čl. 1, odst. 1) musí být zajištěno, že podporou poskytnutou podle Nařízení 1407/2013 nedojde ke zvýhodnění zemědělských aktivit příjemce, tzn. nesmí dojít ke křížovému financování ani nepřímé podpoře. To se zajistí jasným oddělením činností + rozlišením nákladů (odděleně vedeným účetnictvím k jednotlivým činnostem). Pokud příjemce kromě podpory výroby elektřiny v rozhodném období čerpal také nějaké podpory de minimis na zemědělské činnosti podle nařízení č. 1408/2013 (což se zjistí z centrálního registru), pak se všechny podpory de minimis se načítají do souhrnného limitu 200 tisíc EUR. Podmínkou čerpání podpor podle více nařízení de minimis je oddělené účetnictví.</w:t>
      </w:r>
    </w:p>
    <w:p w14:paraId="29A664D2" w14:textId="4A0E3810" w:rsidR="00034AD2" w:rsidRPr="00C07DEA" w:rsidRDefault="00034AD2" w:rsidP="00C07DEA">
      <w:pPr>
        <w:spacing w:after="0" w:line="240" w:lineRule="auto"/>
        <w:jc w:val="both"/>
        <w:rPr>
          <w:color w:val="1F497D"/>
          <w:sz w:val="20"/>
        </w:rPr>
      </w:pPr>
    </w:p>
    <w:p w14:paraId="16BFF570" w14:textId="38EB5657" w:rsidR="00034AD2" w:rsidRPr="00C07DEA" w:rsidRDefault="00034AD2">
      <w:pPr>
        <w:pStyle w:val="Textpoznpodarou"/>
        <w:rPr>
          <w:lang w:val="cs-CZ"/>
        </w:rPr>
      </w:pPr>
    </w:p>
  </w:footnote>
  <w:footnote w:id="7">
    <w:p w14:paraId="392B85B7" w14:textId="6BCFEA5A" w:rsidR="00034AD2" w:rsidRPr="00C16217" w:rsidRDefault="00034AD2">
      <w:pPr>
        <w:pStyle w:val="Textpoznpodarou"/>
        <w:rPr>
          <w:lang w:val="cs-CZ"/>
        </w:rPr>
      </w:pPr>
      <w:r>
        <w:rPr>
          <w:rStyle w:val="Znakapoznpodarou"/>
        </w:rPr>
        <w:footnoteRef/>
      </w:r>
      <w:r>
        <w:t xml:space="preserve">  P</w:t>
      </w:r>
      <w:r w:rsidRPr="00C16217">
        <w:t>odpora decnetrální výroby elektřiny byla poskytována v roce 2007 až 2011 a 2013 až 2015</w:t>
      </w:r>
    </w:p>
  </w:footnote>
  <w:footnote w:id="8">
    <w:p w14:paraId="3D6B83A1" w14:textId="475B4356" w:rsidR="00034AD2" w:rsidRPr="00C16217" w:rsidRDefault="00034AD2" w:rsidP="000B4301">
      <w:pPr>
        <w:pStyle w:val="Textpoznpodarou"/>
        <w:jc w:val="both"/>
        <w:rPr>
          <w:lang w:val="cs-CZ"/>
        </w:rPr>
      </w:pPr>
      <w:r w:rsidRPr="00C16217">
        <w:rPr>
          <w:rStyle w:val="Znakapoznpodarou"/>
        </w:rPr>
        <w:footnoteRef/>
      </w:r>
      <w:r w:rsidRPr="00C16217">
        <w:t xml:space="preserve">  </w:t>
      </w:r>
      <w:r>
        <w:t>H</w:t>
      </w:r>
      <w:r w:rsidRPr="00C16217">
        <w:t xml:space="preserve">odnota podpory decentrální výroby elektřiny byla ve výši 7 až 64 Kč/MWh, podle </w:t>
      </w:r>
      <w:r>
        <w:t xml:space="preserve">roku poskytování podpory (viz. poznámka č. 1) a podle </w:t>
      </w:r>
      <w:r w:rsidRPr="00C16217">
        <w:t>úrovně napětové hladiny, ke které byla výrobna elektřiny připojena (velmi vysoké napění, vysoké napětí a nízké napětí)</w:t>
      </w:r>
    </w:p>
  </w:footnote>
  <w:footnote w:id="9">
    <w:p w14:paraId="35272578" w14:textId="784B4131" w:rsidR="00034AD2" w:rsidRPr="00C07DEA" w:rsidRDefault="00034AD2">
      <w:pPr>
        <w:pStyle w:val="Textpoznpodarou"/>
        <w:rPr>
          <w:lang w:val="cs-CZ"/>
        </w:rPr>
      </w:pPr>
      <w:r>
        <w:rPr>
          <w:rStyle w:val="Znakapoznpodarou"/>
        </w:rPr>
        <w:footnoteRef/>
      </w:r>
      <w:r>
        <w:t xml:space="preserve"> Viz pozn. pod čarou 4. </w:t>
      </w:r>
      <w:r>
        <w:rPr>
          <w:lang w:val="cs-CZ"/>
        </w:rPr>
        <w:t>„Jeden podnik“ může zahrnovat vícero propojených podnikatelských subjektů , které každý zvlášť vlastní vícero zdrojů.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multilevel"/>
    <w:tmpl w:val="A5CC164A"/>
    <w:lvl w:ilvl="0">
      <w:start w:val="1"/>
      <w:numFmt w:val="decimal"/>
      <w:pStyle w:val="slovanseznam"/>
      <w:lvlText w:val="(%1)"/>
      <w:lvlJc w:val="left"/>
      <w:pPr>
        <w:tabs>
          <w:tab w:val="left" w:pos="851"/>
        </w:tabs>
        <w:ind w:left="851" w:hanging="709"/>
      </w:pPr>
      <w:rPr>
        <w:b w:val="0"/>
        <w:i w:val="0"/>
      </w:rPr>
    </w:lvl>
    <w:lvl w:ilvl="1">
      <w:start w:val="1"/>
      <w:numFmt w:val="lowerLetter"/>
      <w:pStyle w:val="ListNumberLevel2"/>
      <w:lvlText w:val="(%2)"/>
      <w:lvlJc w:val="left"/>
      <w:pPr>
        <w:tabs>
          <w:tab w:val="left" w:pos="1417"/>
        </w:tabs>
        <w:ind w:left="1417" w:hanging="708"/>
      </w:pPr>
    </w:lvl>
    <w:lvl w:ilvl="2">
      <w:start w:val="1"/>
      <w:numFmt w:val="bullet"/>
      <w:pStyle w:val="ListNumberLevel3"/>
      <w:lvlText w:val="–"/>
      <w:lvlJc w:val="left"/>
      <w:pPr>
        <w:tabs>
          <w:tab w:val="left" w:pos="2126"/>
        </w:tabs>
        <w:ind w:left="2126" w:hanging="709"/>
      </w:pPr>
      <w:rPr>
        <w:rFonts w:ascii="Times New Roman" w:hAnsi="Times New Roman"/>
      </w:rPr>
    </w:lvl>
    <w:lvl w:ilvl="3">
      <w:start w:val="1"/>
      <w:numFmt w:val="bullet"/>
      <w:pStyle w:val="ListNumberLevel4"/>
      <w:lvlText w:val=""/>
      <w:lvlJc w:val="left"/>
      <w:pPr>
        <w:tabs>
          <w:tab w:val="left" w:pos="2835"/>
        </w:tabs>
        <w:ind w:left="2835" w:hanging="709"/>
      </w:pPr>
      <w:rPr>
        <w:rFonts w:ascii="Symbol" w:hAnsi="Symbol"/>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1">
    <w:nsid w:val="00520735"/>
    <w:multiLevelType w:val="hybridMultilevel"/>
    <w:tmpl w:val="53D6893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1356DE4"/>
    <w:multiLevelType w:val="hybridMultilevel"/>
    <w:tmpl w:val="0BB804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18C0833"/>
    <w:multiLevelType w:val="hybridMultilevel"/>
    <w:tmpl w:val="E4C84D4A"/>
    <w:lvl w:ilvl="0" w:tplc="031451CE">
      <w:start w:val="1"/>
      <w:numFmt w:val="decimal"/>
      <w:lvlText w:val="%1)"/>
      <w:lvlJc w:val="left"/>
      <w:pPr>
        <w:ind w:left="720" w:hanging="360"/>
      </w:pPr>
      <w:rPr>
        <w:rFonts w:ascii="Calibri" w:hAnsi="Calibri" w:cs="Times New Roman" w:hint="default"/>
        <w:color w:val="FF000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040D1B93"/>
    <w:multiLevelType w:val="multilevel"/>
    <w:tmpl w:val="E8A48D7C"/>
    <w:styleLink w:val="VariantaA-sla"/>
    <w:lvl w:ilvl="0">
      <w:start w:val="1"/>
      <w:numFmt w:val="decimal"/>
      <w:lvlText w:val="%1."/>
      <w:lvlJc w:val="left"/>
      <w:pPr>
        <w:ind w:left="357" w:hanging="357"/>
      </w:pPr>
      <w:rPr>
        <w:rFonts w:hint="default"/>
      </w:rPr>
    </w:lvl>
    <w:lvl w:ilvl="1">
      <w:start w:val="1"/>
      <w:numFmt w:val="decimal"/>
      <w:lvlText w:val="%1.%2."/>
      <w:lvlJc w:val="left"/>
      <w:pPr>
        <w:ind w:left="851" w:hanging="494"/>
      </w:pPr>
      <w:rPr>
        <w:rFonts w:hint="default"/>
      </w:rPr>
    </w:lvl>
    <w:lvl w:ilvl="2">
      <w:start w:val="1"/>
      <w:numFmt w:val="decimal"/>
      <w:lvlText w:val="%1.%2.%3."/>
      <w:lvlJc w:val="left"/>
      <w:pPr>
        <w:ind w:left="1474" w:hanging="623"/>
      </w:pPr>
      <w:rPr>
        <w:rFonts w:hint="default"/>
      </w:rPr>
    </w:lvl>
    <w:lvl w:ilvl="3">
      <w:start w:val="1"/>
      <w:numFmt w:val="decimal"/>
      <w:lvlText w:val="%1.%2.%3.%4."/>
      <w:lvlJc w:val="left"/>
      <w:pPr>
        <w:tabs>
          <w:tab w:val="num" w:pos="1474"/>
        </w:tabs>
        <w:ind w:left="2268" w:hanging="794"/>
      </w:pPr>
      <w:rPr>
        <w:rFonts w:hint="default"/>
      </w:rPr>
    </w:lvl>
    <w:lvl w:ilvl="4">
      <w:start w:val="1"/>
      <w:numFmt w:val="decimal"/>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5">
    <w:nsid w:val="0A6B567B"/>
    <w:multiLevelType w:val="hybridMultilevel"/>
    <w:tmpl w:val="F88229A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F0C72E2"/>
    <w:multiLevelType w:val="hybridMultilevel"/>
    <w:tmpl w:val="8AA2EDB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nsid w:val="10972269"/>
    <w:multiLevelType w:val="hybridMultilevel"/>
    <w:tmpl w:val="9E8601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1907696"/>
    <w:multiLevelType w:val="hybridMultilevel"/>
    <w:tmpl w:val="24A2E1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30316F8"/>
    <w:multiLevelType w:val="multilevel"/>
    <w:tmpl w:val="3320A8B2"/>
    <w:numStyleLink w:val="VariantaB-odrky"/>
  </w:abstractNum>
  <w:abstractNum w:abstractNumId="10">
    <w:nsid w:val="15E104EE"/>
    <w:multiLevelType w:val="hybridMultilevel"/>
    <w:tmpl w:val="1870C67E"/>
    <w:lvl w:ilvl="0" w:tplc="2A00AC94">
      <w:start w:val="1"/>
      <w:numFmt w:val="decimal"/>
      <w:lvlText w:val="%1)"/>
      <w:lvlJc w:val="left"/>
      <w:pPr>
        <w:ind w:left="720" w:hanging="360"/>
      </w:pPr>
      <w:rPr>
        <w:rFonts w:ascii="Calibri" w:hAnsi="Calibri" w:cs="Times New Roman"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1615572B"/>
    <w:multiLevelType w:val="multilevel"/>
    <w:tmpl w:val="3320A8B2"/>
    <w:styleLink w:val="VariantaB-odrky"/>
    <w:lvl w:ilvl="0">
      <w:start w:val="1"/>
      <w:numFmt w:val="bullet"/>
      <w:pStyle w:val="SeznamsodrkamiB"/>
      <w:lvlText w:val="—"/>
      <w:lvlJc w:val="left"/>
      <w:pPr>
        <w:ind w:left="357" w:hanging="357"/>
      </w:pPr>
      <w:rPr>
        <w:rFonts w:ascii="Calibri" w:hAnsi="Calibri" w:hint="default"/>
        <w:sz w:val="16"/>
      </w:rPr>
    </w:lvl>
    <w:lvl w:ilvl="1">
      <w:start w:val="1"/>
      <w:numFmt w:val="bullet"/>
      <w:pStyle w:val="SeznamsodrkamiB2"/>
      <w:lvlText w:val=""/>
      <w:lvlJc w:val="left"/>
      <w:pPr>
        <w:ind w:left="714" w:hanging="357"/>
      </w:pPr>
      <w:rPr>
        <w:rFonts w:ascii="Wingdings" w:hAnsi="Wingdings" w:hint="default"/>
        <w:sz w:val="14"/>
      </w:rPr>
    </w:lvl>
    <w:lvl w:ilvl="2">
      <w:start w:val="1"/>
      <w:numFmt w:val="bullet"/>
      <w:pStyle w:val="SeznamsodrkamiB3"/>
      <w:lvlText w:val=""/>
      <w:lvlJc w:val="left"/>
      <w:pPr>
        <w:ind w:left="1071" w:hanging="357"/>
      </w:pPr>
      <w:rPr>
        <w:rFonts w:ascii="Wingdings 2" w:hAnsi="Wingdings 2" w:hint="default"/>
      </w:rPr>
    </w:lvl>
    <w:lvl w:ilvl="3">
      <w:start w:val="1"/>
      <w:numFmt w:val="bullet"/>
      <w:pStyle w:val="SeznamsodrkamiB4"/>
      <w:lvlText w:val=""/>
      <w:lvlJc w:val="left"/>
      <w:pPr>
        <w:ind w:left="1428" w:hanging="357"/>
      </w:pPr>
      <w:rPr>
        <w:rFonts w:ascii="Wingdings 2" w:hAnsi="Wingdings 2" w:hint="default"/>
      </w:rPr>
    </w:lvl>
    <w:lvl w:ilvl="4">
      <w:start w:val="1"/>
      <w:numFmt w:val="bullet"/>
      <w:pStyle w:val="SeznamsodrkamiB5"/>
      <w:lvlText w:val=""/>
      <w:lvlJc w:val="left"/>
      <w:pPr>
        <w:ind w:left="1785" w:hanging="357"/>
      </w:pPr>
      <w:rPr>
        <w:rFonts w:ascii="Wingdings 2" w:hAnsi="Wingdings 2" w:hint="default"/>
      </w:rPr>
    </w:lvl>
    <w:lvl w:ilvl="5">
      <w:start w:val="1"/>
      <w:numFmt w:val="bullet"/>
      <w:lvlText w:val=""/>
      <w:lvlJc w:val="left"/>
      <w:pPr>
        <w:ind w:left="2142" w:hanging="357"/>
      </w:pPr>
      <w:rPr>
        <w:rFonts w:ascii="Wingdings 2" w:hAnsi="Wingdings 2" w:cs="Times New Roman" w:hint="default"/>
      </w:rPr>
    </w:lvl>
    <w:lvl w:ilvl="6">
      <w:start w:val="1"/>
      <w:numFmt w:val="bullet"/>
      <w:lvlText w:val=""/>
      <w:lvlJc w:val="left"/>
      <w:pPr>
        <w:ind w:left="2499" w:hanging="357"/>
      </w:pPr>
      <w:rPr>
        <w:rFonts w:ascii="Wingdings 2" w:hAnsi="Wingdings 2" w:cs="Times New Roman" w:hint="default"/>
      </w:rPr>
    </w:lvl>
    <w:lvl w:ilvl="7">
      <w:start w:val="1"/>
      <w:numFmt w:val="bullet"/>
      <w:lvlText w:val=""/>
      <w:lvlJc w:val="left"/>
      <w:pPr>
        <w:ind w:left="2856" w:hanging="357"/>
      </w:pPr>
      <w:rPr>
        <w:rFonts w:ascii="Wingdings 2" w:hAnsi="Wingdings 2" w:cs="Times New Roman" w:hint="default"/>
      </w:rPr>
    </w:lvl>
    <w:lvl w:ilvl="8">
      <w:start w:val="1"/>
      <w:numFmt w:val="bullet"/>
      <w:lvlText w:val=""/>
      <w:lvlJc w:val="left"/>
      <w:pPr>
        <w:ind w:left="3213" w:hanging="357"/>
      </w:pPr>
      <w:rPr>
        <w:rFonts w:ascii="Wingdings 2" w:hAnsi="Wingdings 2" w:cs="Times New Roman" w:hint="default"/>
      </w:rPr>
    </w:lvl>
  </w:abstractNum>
  <w:abstractNum w:abstractNumId="12">
    <w:nsid w:val="2019161F"/>
    <w:multiLevelType w:val="hybridMultilevel"/>
    <w:tmpl w:val="F506AE8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nsid w:val="258340B1"/>
    <w:multiLevelType w:val="hybridMultilevel"/>
    <w:tmpl w:val="A3DA74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89A5EA2"/>
    <w:multiLevelType w:val="multilevel"/>
    <w:tmpl w:val="E8BAE50A"/>
    <w:numStyleLink w:val="VariantaA-odrky"/>
  </w:abstractNum>
  <w:abstractNum w:abstractNumId="15">
    <w:nsid w:val="34C66119"/>
    <w:multiLevelType w:val="hybridMultilevel"/>
    <w:tmpl w:val="9FC4A4A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6">
    <w:nsid w:val="36C30DD4"/>
    <w:multiLevelType w:val="hybridMultilevel"/>
    <w:tmpl w:val="86FE25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6D66632"/>
    <w:multiLevelType w:val="hybridMultilevel"/>
    <w:tmpl w:val="F18AC9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B1D764E"/>
    <w:multiLevelType w:val="hybridMultilevel"/>
    <w:tmpl w:val="E29293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B7073DC"/>
    <w:multiLevelType w:val="hybridMultilevel"/>
    <w:tmpl w:val="FCE20420"/>
    <w:lvl w:ilvl="0" w:tplc="04050001">
      <w:start w:val="1"/>
      <w:numFmt w:val="bullet"/>
      <w:lvlText w:val=""/>
      <w:lvlJc w:val="left"/>
      <w:pPr>
        <w:ind w:left="1480" w:hanging="360"/>
      </w:pPr>
      <w:rPr>
        <w:rFonts w:ascii="Symbol" w:hAnsi="Symbol" w:hint="default"/>
      </w:rPr>
    </w:lvl>
    <w:lvl w:ilvl="1" w:tplc="04050003" w:tentative="1">
      <w:start w:val="1"/>
      <w:numFmt w:val="bullet"/>
      <w:lvlText w:val="o"/>
      <w:lvlJc w:val="left"/>
      <w:pPr>
        <w:ind w:left="2200" w:hanging="360"/>
      </w:pPr>
      <w:rPr>
        <w:rFonts w:ascii="Courier New" w:hAnsi="Courier New" w:cs="Courier New" w:hint="default"/>
      </w:rPr>
    </w:lvl>
    <w:lvl w:ilvl="2" w:tplc="04050005" w:tentative="1">
      <w:start w:val="1"/>
      <w:numFmt w:val="bullet"/>
      <w:lvlText w:val=""/>
      <w:lvlJc w:val="left"/>
      <w:pPr>
        <w:ind w:left="2920" w:hanging="360"/>
      </w:pPr>
      <w:rPr>
        <w:rFonts w:ascii="Wingdings" w:hAnsi="Wingdings" w:hint="default"/>
      </w:rPr>
    </w:lvl>
    <w:lvl w:ilvl="3" w:tplc="04050001" w:tentative="1">
      <w:start w:val="1"/>
      <w:numFmt w:val="bullet"/>
      <w:lvlText w:val=""/>
      <w:lvlJc w:val="left"/>
      <w:pPr>
        <w:ind w:left="3640" w:hanging="360"/>
      </w:pPr>
      <w:rPr>
        <w:rFonts w:ascii="Symbol" w:hAnsi="Symbol" w:hint="default"/>
      </w:rPr>
    </w:lvl>
    <w:lvl w:ilvl="4" w:tplc="04050003" w:tentative="1">
      <w:start w:val="1"/>
      <w:numFmt w:val="bullet"/>
      <w:lvlText w:val="o"/>
      <w:lvlJc w:val="left"/>
      <w:pPr>
        <w:ind w:left="4360" w:hanging="360"/>
      </w:pPr>
      <w:rPr>
        <w:rFonts w:ascii="Courier New" w:hAnsi="Courier New" w:cs="Courier New" w:hint="default"/>
      </w:rPr>
    </w:lvl>
    <w:lvl w:ilvl="5" w:tplc="04050005" w:tentative="1">
      <w:start w:val="1"/>
      <w:numFmt w:val="bullet"/>
      <w:lvlText w:val=""/>
      <w:lvlJc w:val="left"/>
      <w:pPr>
        <w:ind w:left="5080" w:hanging="360"/>
      </w:pPr>
      <w:rPr>
        <w:rFonts w:ascii="Wingdings" w:hAnsi="Wingdings" w:hint="default"/>
      </w:rPr>
    </w:lvl>
    <w:lvl w:ilvl="6" w:tplc="04050001" w:tentative="1">
      <w:start w:val="1"/>
      <w:numFmt w:val="bullet"/>
      <w:lvlText w:val=""/>
      <w:lvlJc w:val="left"/>
      <w:pPr>
        <w:ind w:left="5800" w:hanging="360"/>
      </w:pPr>
      <w:rPr>
        <w:rFonts w:ascii="Symbol" w:hAnsi="Symbol" w:hint="default"/>
      </w:rPr>
    </w:lvl>
    <w:lvl w:ilvl="7" w:tplc="04050003" w:tentative="1">
      <w:start w:val="1"/>
      <w:numFmt w:val="bullet"/>
      <w:lvlText w:val="o"/>
      <w:lvlJc w:val="left"/>
      <w:pPr>
        <w:ind w:left="6520" w:hanging="360"/>
      </w:pPr>
      <w:rPr>
        <w:rFonts w:ascii="Courier New" w:hAnsi="Courier New" w:cs="Courier New" w:hint="default"/>
      </w:rPr>
    </w:lvl>
    <w:lvl w:ilvl="8" w:tplc="04050005" w:tentative="1">
      <w:start w:val="1"/>
      <w:numFmt w:val="bullet"/>
      <w:lvlText w:val=""/>
      <w:lvlJc w:val="left"/>
      <w:pPr>
        <w:ind w:left="7240" w:hanging="360"/>
      </w:pPr>
      <w:rPr>
        <w:rFonts w:ascii="Wingdings" w:hAnsi="Wingdings" w:hint="default"/>
      </w:rPr>
    </w:lvl>
  </w:abstractNum>
  <w:abstractNum w:abstractNumId="20">
    <w:nsid w:val="3BF306B6"/>
    <w:multiLevelType w:val="hybridMultilevel"/>
    <w:tmpl w:val="0F1A980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nsid w:val="3E1B522F"/>
    <w:multiLevelType w:val="hybridMultilevel"/>
    <w:tmpl w:val="462A10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07624F4"/>
    <w:multiLevelType w:val="hybridMultilevel"/>
    <w:tmpl w:val="DD0821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12279F9"/>
    <w:multiLevelType w:val="hybridMultilevel"/>
    <w:tmpl w:val="D4AC7B8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4">
    <w:nsid w:val="4157790C"/>
    <w:multiLevelType w:val="hybridMultilevel"/>
    <w:tmpl w:val="B2F85C32"/>
    <w:lvl w:ilvl="0" w:tplc="45A2DDF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4287D4E"/>
    <w:multiLevelType w:val="hybridMultilevel"/>
    <w:tmpl w:val="CDCEED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45051D52"/>
    <w:multiLevelType w:val="multilevel"/>
    <w:tmpl w:val="1B6437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4F413071"/>
    <w:multiLevelType w:val="hybridMultilevel"/>
    <w:tmpl w:val="401CEE0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8">
    <w:nsid w:val="4F89775E"/>
    <w:multiLevelType w:val="multilevel"/>
    <w:tmpl w:val="0D8ABE32"/>
    <w:styleLink w:val="VariantaB-sla"/>
    <w:lvl w:ilvl="0">
      <w:start w:val="1"/>
      <w:numFmt w:val="decimal"/>
      <w:pStyle w:val="slovanseznamB"/>
      <w:lvlText w:val="%1)"/>
      <w:lvlJc w:val="left"/>
      <w:pPr>
        <w:ind w:left="360" w:hanging="360"/>
      </w:pPr>
      <w:rPr>
        <w:rFonts w:hint="default"/>
      </w:rPr>
    </w:lvl>
    <w:lvl w:ilvl="1">
      <w:start w:val="1"/>
      <w:numFmt w:val="lowerLetter"/>
      <w:pStyle w:val="slovanseznamB2"/>
      <w:lvlText w:val="%2)"/>
      <w:lvlJc w:val="left"/>
      <w:pPr>
        <w:ind w:left="720" w:hanging="360"/>
      </w:pPr>
      <w:rPr>
        <w:rFonts w:hint="default"/>
      </w:rPr>
    </w:lvl>
    <w:lvl w:ilvl="2">
      <w:start w:val="1"/>
      <w:numFmt w:val="lowerRoman"/>
      <w:pStyle w:val="slovanseznamB3"/>
      <w:lvlText w:val="%3)"/>
      <w:lvlJc w:val="left"/>
      <w:pPr>
        <w:ind w:left="1080" w:hanging="360"/>
      </w:pPr>
      <w:rPr>
        <w:rFonts w:hint="default"/>
      </w:rPr>
    </w:lvl>
    <w:lvl w:ilvl="3">
      <w:start w:val="1"/>
      <w:numFmt w:val="decimal"/>
      <w:pStyle w:val="slovanseznamB4"/>
      <w:lvlText w:val="(%4)"/>
      <w:lvlJc w:val="left"/>
      <w:pPr>
        <w:ind w:left="1440" w:hanging="360"/>
      </w:pPr>
      <w:rPr>
        <w:rFonts w:hint="default"/>
      </w:rPr>
    </w:lvl>
    <w:lvl w:ilvl="4">
      <w:start w:val="1"/>
      <w:numFmt w:val="lowerLetter"/>
      <w:pStyle w:val="slovanseznamB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2820433"/>
    <w:multiLevelType w:val="hybridMultilevel"/>
    <w:tmpl w:val="B158FB4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0">
    <w:nsid w:val="58A321E4"/>
    <w:multiLevelType w:val="multilevel"/>
    <w:tmpl w:val="E8BAE50A"/>
    <w:styleLink w:val="VariantaA-odrky"/>
    <w:lvl w:ilvl="0">
      <w:start w:val="1"/>
      <w:numFmt w:val="bullet"/>
      <w:pStyle w:val="Seznamsodrkami"/>
      <w:lvlText w:val=""/>
      <w:lvlJc w:val="left"/>
      <w:pPr>
        <w:ind w:left="357" w:hanging="357"/>
      </w:pPr>
      <w:rPr>
        <w:rFonts w:ascii="Wingdings" w:hAnsi="Wingdings" w:hint="default"/>
        <w:sz w:val="16"/>
      </w:rPr>
    </w:lvl>
    <w:lvl w:ilvl="1">
      <w:start w:val="1"/>
      <w:numFmt w:val="bullet"/>
      <w:pStyle w:val="Seznamsodrkami2"/>
      <w:lvlText w:val=""/>
      <w:lvlJc w:val="left"/>
      <w:pPr>
        <w:ind w:left="714" w:hanging="357"/>
      </w:pPr>
      <w:rPr>
        <w:rFonts w:ascii="Wingdings" w:hAnsi="Wingdings" w:hint="default"/>
        <w:sz w:val="14"/>
      </w:rPr>
    </w:lvl>
    <w:lvl w:ilvl="2">
      <w:start w:val="1"/>
      <w:numFmt w:val="bullet"/>
      <w:pStyle w:val="Seznamsodrkami3"/>
      <w:lvlText w:val=""/>
      <w:lvlJc w:val="left"/>
      <w:pPr>
        <w:ind w:left="1071" w:hanging="357"/>
      </w:pPr>
      <w:rPr>
        <w:rFonts w:ascii="Wingdings" w:hAnsi="Wingdings" w:hint="default"/>
        <w:sz w:val="10"/>
      </w:rPr>
    </w:lvl>
    <w:lvl w:ilvl="3">
      <w:start w:val="1"/>
      <w:numFmt w:val="bullet"/>
      <w:pStyle w:val="Seznamsodrkami4"/>
      <w:lvlText w:val=""/>
      <w:lvlJc w:val="left"/>
      <w:pPr>
        <w:ind w:left="1428" w:hanging="357"/>
      </w:pPr>
      <w:rPr>
        <w:rFonts w:ascii="Wingdings" w:hAnsi="Wingdings" w:hint="default"/>
        <w:sz w:val="10"/>
      </w:rPr>
    </w:lvl>
    <w:lvl w:ilvl="4">
      <w:start w:val="1"/>
      <w:numFmt w:val="bullet"/>
      <w:pStyle w:val="Seznamsodrkami5"/>
      <w:lvlText w:val=""/>
      <w:lvlJc w:val="left"/>
      <w:pPr>
        <w:ind w:left="1785" w:hanging="357"/>
      </w:pPr>
      <w:rPr>
        <w:rFonts w:ascii="Wingdings" w:hAnsi="Wingdings" w:hint="default"/>
        <w:sz w:val="10"/>
      </w:rPr>
    </w:lvl>
    <w:lvl w:ilvl="5">
      <w:start w:val="1"/>
      <w:numFmt w:val="bullet"/>
      <w:lvlText w:val=""/>
      <w:lvlJc w:val="left"/>
      <w:pPr>
        <w:ind w:left="2142" w:hanging="357"/>
      </w:pPr>
      <w:rPr>
        <w:rFonts w:ascii="Wingdings" w:hAnsi="Wingdings" w:hint="default"/>
        <w:sz w:val="10"/>
      </w:rPr>
    </w:lvl>
    <w:lvl w:ilvl="6">
      <w:start w:val="1"/>
      <w:numFmt w:val="bullet"/>
      <w:lvlText w:val=""/>
      <w:lvlJc w:val="left"/>
      <w:pPr>
        <w:ind w:left="2499" w:hanging="357"/>
      </w:pPr>
      <w:rPr>
        <w:rFonts w:ascii="Wingdings" w:hAnsi="Wingdings" w:hint="default"/>
        <w:sz w:val="10"/>
      </w:rPr>
    </w:lvl>
    <w:lvl w:ilvl="7">
      <w:start w:val="1"/>
      <w:numFmt w:val="bullet"/>
      <w:lvlText w:val=""/>
      <w:lvlJc w:val="left"/>
      <w:pPr>
        <w:ind w:left="2856" w:hanging="357"/>
      </w:pPr>
      <w:rPr>
        <w:rFonts w:ascii="Wingdings" w:hAnsi="Wingdings" w:hint="default"/>
        <w:sz w:val="10"/>
      </w:rPr>
    </w:lvl>
    <w:lvl w:ilvl="8">
      <w:start w:val="1"/>
      <w:numFmt w:val="bullet"/>
      <w:lvlText w:val=""/>
      <w:lvlJc w:val="left"/>
      <w:pPr>
        <w:ind w:left="3213" w:hanging="357"/>
      </w:pPr>
      <w:rPr>
        <w:rFonts w:ascii="Wingdings" w:hAnsi="Wingdings" w:hint="default"/>
        <w:color w:val="000000" w:themeColor="text1"/>
        <w:sz w:val="10"/>
      </w:rPr>
    </w:lvl>
  </w:abstractNum>
  <w:abstractNum w:abstractNumId="31">
    <w:nsid w:val="5AF35F43"/>
    <w:multiLevelType w:val="multilevel"/>
    <w:tmpl w:val="0D8ABE32"/>
    <w:numStyleLink w:val="VariantaB-sla"/>
  </w:abstractNum>
  <w:abstractNum w:abstractNumId="32">
    <w:nsid w:val="5B0B0C8F"/>
    <w:multiLevelType w:val="hybridMultilevel"/>
    <w:tmpl w:val="516C134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3">
    <w:nsid w:val="5D2051B4"/>
    <w:multiLevelType w:val="hybridMultilevel"/>
    <w:tmpl w:val="B2F85C32"/>
    <w:lvl w:ilvl="0" w:tplc="45A2DDF0">
      <w:start w:val="1"/>
      <w:numFmt w:val="upperLetter"/>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F8C4614"/>
    <w:multiLevelType w:val="hybridMultilevel"/>
    <w:tmpl w:val="21AAFE16"/>
    <w:lvl w:ilvl="0" w:tplc="5356636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0FE4E36"/>
    <w:multiLevelType w:val="hybridMultilevel"/>
    <w:tmpl w:val="CA360CDC"/>
    <w:lvl w:ilvl="0" w:tplc="EF204FDA">
      <w:start w:val="1"/>
      <w:numFmt w:val="decimal"/>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36">
    <w:nsid w:val="626A4C2C"/>
    <w:multiLevelType w:val="hybridMultilevel"/>
    <w:tmpl w:val="DCC4E028"/>
    <w:lvl w:ilvl="0" w:tplc="9342D110">
      <w:start w:val="1"/>
      <w:numFmt w:val="lowerLetter"/>
      <w:lvlText w:val="%1)"/>
      <w:lvlJc w:val="left"/>
      <w:pPr>
        <w:ind w:left="720" w:hanging="360"/>
      </w:pPr>
      <w:rPr>
        <w:rFonts w:cstheme="minorBidi"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4CB1A45"/>
    <w:multiLevelType w:val="hybridMultilevel"/>
    <w:tmpl w:val="DEFC1E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65B93A0D"/>
    <w:multiLevelType w:val="hybridMultilevel"/>
    <w:tmpl w:val="311EAC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676B4ACD"/>
    <w:multiLevelType w:val="hybridMultilevel"/>
    <w:tmpl w:val="A3DA74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6AAF0F0D"/>
    <w:multiLevelType w:val="hybridMultilevel"/>
    <w:tmpl w:val="21003E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6D2030E8"/>
    <w:multiLevelType w:val="hybridMultilevel"/>
    <w:tmpl w:val="D312F6AA"/>
    <w:lvl w:ilvl="0" w:tplc="0405000F">
      <w:start w:val="1"/>
      <w:numFmt w:val="decimal"/>
      <w:lvlText w:val="%1."/>
      <w:lvlJc w:val="left"/>
      <w:pPr>
        <w:ind w:left="1790" w:hanging="360"/>
      </w:pPr>
    </w:lvl>
    <w:lvl w:ilvl="1" w:tplc="04050019" w:tentative="1">
      <w:start w:val="1"/>
      <w:numFmt w:val="lowerLetter"/>
      <w:lvlText w:val="%2."/>
      <w:lvlJc w:val="left"/>
      <w:pPr>
        <w:ind w:left="2510" w:hanging="360"/>
      </w:pPr>
    </w:lvl>
    <w:lvl w:ilvl="2" w:tplc="0405001B" w:tentative="1">
      <w:start w:val="1"/>
      <w:numFmt w:val="lowerRoman"/>
      <w:lvlText w:val="%3."/>
      <w:lvlJc w:val="right"/>
      <w:pPr>
        <w:ind w:left="3230" w:hanging="180"/>
      </w:pPr>
    </w:lvl>
    <w:lvl w:ilvl="3" w:tplc="0405000F" w:tentative="1">
      <w:start w:val="1"/>
      <w:numFmt w:val="decimal"/>
      <w:lvlText w:val="%4."/>
      <w:lvlJc w:val="left"/>
      <w:pPr>
        <w:ind w:left="3950" w:hanging="360"/>
      </w:pPr>
    </w:lvl>
    <w:lvl w:ilvl="4" w:tplc="04050019" w:tentative="1">
      <w:start w:val="1"/>
      <w:numFmt w:val="lowerLetter"/>
      <w:lvlText w:val="%5."/>
      <w:lvlJc w:val="left"/>
      <w:pPr>
        <w:ind w:left="4670" w:hanging="360"/>
      </w:pPr>
    </w:lvl>
    <w:lvl w:ilvl="5" w:tplc="0405001B" w:tentative="1">
      <w:start w:val="1"/>
      <w:numFmt w:val="lowerRoman"/>
      <w:lvlText w:val="%6."/>
      <w:lvlJc w:val="right"/>
      <w:pPr>
        <w:ind w:left="5390" w:hanging="180"/>
      </w:pPr>
    </w:lvl>
    <w:lvl w:ilvl="6" w:tplc="0405000F" w:tentative="1">
      <w:start w:val="1"/>
      <w:numFmt w:val="decimal"/>
      <w:lvlText w:val="%7."/>
      <w:lvlJc w:val="left"/>
      <w:pPr>
        <w:ind w:left="6110" w:hanging="360"/>
      </w:pPr>
    </w:lvl>
    <w:lvl w:ilvl="7" w:tplc="04050019" w:tentative="1">
      <w:start w:val="1"/>
      <w:numFmt w:val="lowerLetter"/>
      <w:lvlText w:val="%8."/>
      <w:lvlJc w:val="left"/>
      <w:pPr>
        <w:ind w:left="6830" w:hanging="360"/>
      </w:pPr>
    </w:lvl>
    <w:lvl w:ilvl="8" w:tplc="0405001B" w:tentative="1">
      <w:start w:val="1"/>
      <w:numFmt w:val="lowerRoman"/>
      <w:lvlText w:val="%9."/>
      <w:lvlJc w:val="right"/>
      <w:pPr>
        <w:ind w:left="7550" w:hanging="180"/>
      </w:pPr>
    </w:lvl>
  </w:abstractNum>
  <w:abstractNum w:abstractNumId="42">
    <w:nsid w:val="731543BE"/>
    <w:multiLevelType w:val="hybridMultilevel"/>
    <w:tmpl w:val="7234D2EE"/>
    <w:lvl w:ilvl="0" w:tplc="2E76BBF0">
      <w:start w:val="1"/>
      <w:numFmt w:val="lowerLetter"/>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43">
    <w:nsid w:val="75B56D09"/>
    <w:multiLevelType w:val="hybridMultilevel"/>
    <w:tmpl w:val="94DA10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777D5396"/>
    <w:multiLevelType w:val="hybridMultilevel"/>
    <w:tmpl w:val="C6D8D228"/>
    <w:lvl w:ilvl="0" w:tplc="FCE09F76">
      <w:start w:val="1"/>
      <w:numFmt w:val="decimal"/>
      <w:lvlText w:val="(%1)"/>
      <w:lvlJc w:val="left"/>
      <w:pPr>
        <w:ind w:left="360" w:hanging="360"/>
      </w:pPr>
      <w:rPr>
        <w:rFonts w:hint="default"/>
        <w:b w:val="0"/>
        <w:color w:val="auto"/>
      </w:rPr>
    </w:lvl>
    <w:lvl w:ilvl="1" w:tplc="CF88439E">
      <w:start w:val="1"/>
      <w:numFmt w:val="decimal"/>
      <w:lvlText w:val="%2)"/>
      <w:lvlJc w:val="left"/>
      <w:pPr>
        <w:ind w:left="1080" w:hanging="360"/>
      </w:pPr>
      <w:rPr>
        <w:rFonts w:asciiTheme="minorHAnsi" w:eastAsia="Times New Roman" w:hAnsiTheme="minorHAnsi" w:cs="Times New Roman"/>
      </w:rPr>
    </w:lvl>
    <w:lvl w:ilvl="2" w:tplc="0405001B">
      <w:start w:val="1"/>
      <w:numFmt w:val="lowerRoman"/>
      <w:lvlText w:val="%3."/>
      <w:lvlJc w:val="right"/>
      <w:pPr>
        <w:ind w:left="1800" w:hanging="180"/>
      </w:pPr>
    </w:lvl>
    <w:lvl w:ilvl="3" w:tplc="24E6FE20">
      <w:start w:val="7"/>
      <w:numFmt w:val="lowerLetter"/>
      <w:lvlText w:val="%4)"/>
      <w:lvlJc w:val="left"/>
      <w:pPr>
        <w:ind w:left="360" w:hanging="360"/>
      </w:pPr>
      <w:rPr>
        <w:rFonts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nsid w:val="7D6C667F"/>
    <w:multiLevelType w:val="hybridMultilevel"/>
    <w:tmpl w:val="D27428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36"/>
  </w:num>
  <w:num w:numId="3">
    <w:abstractNumId w:val="8"/>
  </w:num>
  <w:num w:numId="4">
    <w:abstractNumId w:val="44"/>
  </w:num>
  <w:num w:numId="5">
    <w:abstractNumId w:val="11"/>
  </w:num>
  <w:num w:numId="6">
    <w:abstractNumId w:val="30"/>
  </w:num>
  <w:num w:numId="7">
    <w:abstractNumId w:val="28"/>
  </w:num>
  <w:num w:numId="8">
    <w:abstractNumId w:val="4"/>
  </w:num>
  <w:num w:numId="9">
    <w:abstractNumId w:val="31"/>
  </w:num>
  <w:num w:numId="10">
    <w:abstractNumId w:val="14"/>
  </w:num>
  <w:num w:numId="11">
    <w:abstractNumId w:val="9"/>
  </w:num>
  <w:num w:numId="12">
    <w:abstractNumId w:val="45"/>
  </w:num>
  <w:num w:numId="13">
    <w:abstractNumId w:val="15"/>
  </w:num>
  <w:num w:numId="14">
    <w:abstractNumId w:val="27"/>
  </w:num>
  <w:num w:numId="15">
    <w:abstractNumId w:val="29"/>
  </w:num>
  <w:num w:numId="16">
    <w:abstractNumId w:val="33"/>
  </w:num>
  <w:num w:numId="17">
    <w:abstractNumId w:val="41"/>
  </w:num>
  <w:num w:numId="18">
    <w:abstractNumId w:val="23"/>
  </w:num>
  <w:num w:numId="19">
    <w:abstractNumId w:val="5"/>
  </w:num>
  <w:num w:numId="20">
    <w:abstractNumId w:val="1"/>
  </w:num>
  <w:num w:numId="21">
    <w:abstractNumId w:val="2"/>
  </w:num>
  <w:num w:numId="22">
    <w:abstractNumId w:val="37"/>
  </w:num>
  <w:num w:numId="23">
    <w:abstractNumId w:val="13"/>
  </w:num>
  <w:num w:numId="24">
    <w:abstractNumId w:val="34"/>
  </w:num>
  <w:num w:numId="25">
    <w:abstractNumId w:val="35"/>
  </w:num>
  <w:num w:numId="26">
    <w:abstractNumId w:val="40"/>
  </w:num>
  <w:num w:numId="27">
    <w:abstractNumId w:val="18"/>
  </w:num>
  <w:num w:numId="28">
    <w:abstractNumId w:val="16"/>
  </w:num>
  <w:num w:numId="29">
    <w:abstractNumId w:val="17"/>
  </w:num>
  <w:num w:numId="30">
    <w:abstractNumId w:val="20"/>
  </w:num>
  <w:num w:numId="31">
    <w:abstractNumId w:val="6"/>
  </w:num>
  <w:num w:numId="32">
    <w:abstractNumId w:val="38"/>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42"/>
  </w:num>
  <w:num w:numId="37">
    <w:abstractNumId w:val="26"/>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
  </w:num>
  <w:num w:numId="53">
    <w:abstractNumId w:val="24"/>
  </w:num>
  <w:num w:numId="54">
    <w:abstractNumId w:val="12"/>
  </w:num>
  <w:num w:numId="55">
    <w:abstractNumId w:val="22"/>
  </w:num>
  <w:num w:numId="56">
    <w:abstractNumId w:val="32"/>
  </w:num>
  <w:num w:numId="57">
    <w:abstractNumId w:val="21"/>
  </w:num>
  <w:num w:numId="58">
    <w:abstractNumId w:val="43"/>
  </w:num>
  <w:num w:numId="59">
    <w:abstractNumId w:val="7"/>
  </w:num>
  <w:num w:numId="60">
    <w:abstractNumId w:val="19"/>
  </w:num>
  <w:num w:numId="61">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hideSpellingErrors/>
  <w:hideGrammaticalErrors/>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579"/>
    <w:rsid w:val="0001009E"/>
    <w:rsid w:val="0001256D"/>
    <w:rsid w:val="000146B6"/>
    <w:rsid w:val="00016B70"/>
    <w:rsid w:val="00017A4E"/>
    <w:rsid w:val="00020069"/>
    <w:rsid w:val="0002089B"/>
    <w:rsid w:val="0002674D"/>
    <w:rsid w:val="00032F94"/>
    <w:rsid w:val="00034AD2"/>
    <w:rsid w:val="00042F45"/>
    <w:rsid w:val="00043C77"/>
    <w:rsid w:val="000474EF"/>
    <w:rsid w:val="00051CAF"/>
    <w:rsid w:val="00051D53"/>
    <w:rsid w:val="000675E2"/>
    <w:rsid w:val="000759AA"/>
    <w:rsid w:val="00077EDE"/>
    <w:rsid w:val="00081443"/>
    <w:rsid w:val="000824ED"/>
    <w:rsid w:val="00082B25"/>
    <w:rsid w:val="00082BB7"/>
    <w:rsid w:val="0009346E"/>
    <w:rsid w:val="000A5DB5"/>
    <w:rsid w:val="000A7A1E"/>
    <w:rsid w:val="000B004B"/>
    <w:rsid w:val="000B4301"/>
    <w:rsid w:val="000B4A4D"/>
    <w:rsid w:val="000C51AC"/>
    <w:rsid w:val="000C5E3B"/>
    <w:rsid w:val="00101CE2"/>
    <w:rsid w:val="00102AC6"/>
    <w:rsid w:val="00105EC7"/>
    <w:rsid w:val="0011181A"/>
    <w:rsid w:val="00122B0B"/>
    <w:rsid w:val="00125810"/>
    <w:rsid w:val="00130010"/>
    <w:rsid w:val="001319C3"/>
    <w:rsid w:val="00131FAE"/>
    <w:rsid w:val="00131FC9"/>
    <w:rsid w:val="00133C11"/>
    <w:rsid w:val="00134122"/>
    <w:rsid w:val="00135586"/>
    <w:rsid w:val="00136548"/>
    <w:rsid w:val="001411E2"/>
    <w:rsid w:val="00142E5F"/>
    <w:rsid w:val="00145A10"/>
    <w:rsid w:val="001536B5"/>
    <w:rsid w:val="0015410E"/>
    <w:rsid w:val="00154C88"/>
    <w:rsid w:val="00156156"/>
    <w:rsid w:val="001803CE"/>
    <w:rsid w:val="0018370E"/>
    <w:rsid w:val="001929F6"/>
    <w:rsid w:val="0019552E"/>
    <w:rsid w:val="0019623A"/>
    <w:rsid w:val="001A0661"/>
    <w:rsid w:val="001A412B"/>
    <w:rsid w:val="001A7D47"/>
    <w:rsid w:val="001B1093"/>
    <w:rsid w:val="001D0305"/>
    <w:rsid w:val="001D0AD7"/>
    <w:rsid w:val="001D2C35"/>
    <w:rsid w:val="001E12EE"/>
    <w:rsid w:val="001E1A48"/>
    <w:rsid w:val="001E30DF"/>
    <w:rsid w:val="001F0F0C"/>
    <w:rsid w:val="001F27C6"/>
    <w:rsid w:val="001F6C3A"/>
    <w:rsid w:val="00206B23"/>
    <w:rsid w:val="00211755"/>
    <w:rsid w:val="00213BA3"/>
    <w:rsid w:val="00214129"/>
    <w:rsid w:val="0022612F"/>
    <w:rsid w:val="00234670"/>
    <w:rsid w:val="0024311C"/>
    <w:rsid w:val="00250470"/>
    <w:rsid w:val="00257CDC"/>
    <w:rsid w:val="00262990"/>
    <w:rsid w:val="0026708F"/>
    <w:rsid w:val="002808B0"/>
    <w:rsid w:val="00281286"/>
    <w:rsid w:val="002868B8"/>
    <w:rsid w:val="00292C53"/>
    <w:rsid w:val="00294429"/>
    <w:rsid w:val="00296F7A"/>
    <w:rsid w:val="00297C98"/>
    <w:rsid w:val="002A17FE"/>
    <w:rsid w:val="002A6587"/>
    <w:rsid w:val="002C2A1E"/>
    <w:rsid w:val="002D2E3F"/>
    <w:rsid w:val="002D60DE"/>
    <w:rsid w:val="002E76BB"/>
    <w:rsid w:val="002F609E"/>
    <w:rsid w:val="002F6E01"/>
    <w:rsid w:val="00300435"/>
    <w:rsid w:val="00302EB4"/>
    <w:rsid w:val="00305999"/>
    <w:rsid w:val="00307649"/>
    <w:rsid w:val="0031494E"/>
    <w:rsid w:val="00333C5C"/>
    <w:rsid w:val="00345ADE"/>
    <w:rsid w:val="00352411"/>
    <w:rsid w:val="00367473"/>
    <w:rsid w:val="00367DE7"/>
    <w:rsid w:val="0037390C"/>
    <w:rsid w:val="00374D3B"/>
    <w:rsid w:val="00375CB8"/>
    <w:rsid w:val="00390F9C"/>
    <w:rsid w:val="003953C4"/>
    <w:rsid w:val="00395DAA"/>
    <w:rsid w:val="003A052B"/>
    <w:rsid w:val="003A0998"/>
    <w:rsid w:val="003B1F0E"/>
    <w:rsid w:val="003B3DC6"/>
    <w:rsid w:val="003D15CC"/>
    <w:rsid w:val="003D3C81"/>
    <w:rsid w:val="003E0B13"/>
    <w:rsid w:val="003E3551"/>
    <w:rsid w:val="003E405F"/>
    <w:rsid w:val="003F0070"/>
    <w:rsid w:val="003F0D8D"/>
    <w:rsid w:val="003F2720"/>
    <w:rsid w:val="003F414A"/>
    <w:rsid w:val="00407BC5"/>
    <w:rsid w:val="00417D4C"/>
    <w:rsid w:val="00426D8B"/>
    <w:rsid w:val="00427039"/>
    <w:rsid w:val="00427B62"/>
    <w:rsid w:val="00432249"/>
    <w:rsid w:val="004343E3"/>
    <w:rsid w:val="004426D4"/>
    <w:rsid w:val="00450492"/>
    <w:rsid w:val="00451E0B"/>
    <w:rsid w:val="004541CB"/>
    <w:rsid w:val="00460441"/>
    <w:rsid w:val="00460B19"/>
    <w:rsid w:val="004616C5"/>
    <w:rsid w:val="004623D8"/>
    <w:rsid w:val="00462908"/>
    <w:rsid w:val="0046298A"/>
    <w:rsid w:val="004713EF"/>
    <w:rsid w:val="00475FA4"/>
    <w:rsid w:val="0048191E"/>
    <w:rsid w:val="00487987"/>
    <w:rsid w:val="00490BEF"/>
    <w:rsid w:val="00491466"/>
    <w:rsid w:val="004960A7"/>
    <w:rsid w:val="00497BA4"/>
    <w:rsid w:val="004A7C7D"/>
    <w:rsid w:val="004B694D"/>
    <w:rsid w:val="004C3CD9"/>
    <w:rsid w:val="004C561B"/>
    <w:rsid w:val="004D26B7"/>
    <w:rsid w:val="004D289D"/>
    <w:rsid w:val="004D472B"/>
    <w:rsid w:val="004D5E65"/>
    <w:rsid w:val="004D668D"/>
    <w:rsid w:val="004E5888"/>
    <w:rsid w:val="004F0C35"/>
    <w:rsid w:val="004F6C02"/>
    <w:rsid w:val="0050330B"/>
    <w:rsid w:val="00510002"/>
    <w:rsid w:val="00511833"/>
    <w:rsid w:val="00513E3C"/>
    <w:rsid w:val="005149D7"/>
    <w:rsid w:val="00515D56"/>
    <w:rsid w:val="0053674C"/>
    <w:rsid w:val="00537F12"/>
    <w:rsid w:val="00544ED1"/>
    <w:rsid w:val="00545084"/>
    <w:rsid w:val="00546C46"/>
    <w:rsid w:val="005479F5"/>
    <w:rsid w:val="0055018B"/>
    <w:rsid w:val="00567B5C"/>
    <w:rsid w:val="00571302"/>
    <w:rsid w:val="005714E3"/>
    <w:rsid w:val="0057208F"/>
    <w:rsid w:val="0057359C"/>
    <w:rsid w:val="005821FA"/>
    <w:rsid w:val="00582243"/>
    <w:rsid w:val="00582A1C"/>
    <w:rsid w:val="00585346"/>
    <w:rsid w:val="00591B2C"/>
    <w:rsid w:val="00593AAF"/>
    <w:rsid w:val="00593D2C"/>
    <w:rsid w:val="00596C08"/>
    <w:rsid w:val="005B4348"/>
    <w:rsid w:val="005B77F2"/>
    <w:rsid w:val="005C1FB3"/>
    <w:rsid w:val="005D1045"/>
    <w:rsid w:val="005D4AA3"/>
    <w:rsid w:val="005D5E46"/>
    <w:rsid w:val="005E1593"/>
    <w:rsid w:val="005E3AED"/>
    <w:rsid w:val="005F5C17"/>
    <w:rsid w:val="005F6886"/>
    <w:rsid w:val="006037E6"/>
    <w:rsid w:val="006037FB"/>
    <w:rsid w:val="00604031"/>
    <w:rsid w:val="006063B5"/>
    <w:rsid w:val="0062283D"/>
    <w:rsid w:val="00622CCC"/>
    <w:rsid w:val="00624A92"/>
    <w:rsid w:val="00625BCA"/>
    <w:rsid w:val="00635C03"/>
    <w:rsid w:val="00641D39"/>
    <w:rsid w:val="00642992"/>
    <w:rsid w:val="00645FE7"/>
    <w:rsid w:val="006530BE"/>
    <w:rsid w:val="00656330"/>
    <w:rsid w:val="00674FB5"/>
    <w:rsid w:val="0067608B"/>
    <w:rsid w:val="006777CC"/>
    <w:rsid w:val="00681B5C"/>
    <w:rsid w:val="00682587"/>
    <w:rsid w:val="00694FB4"/>
    <w:rsid w:val="00696E88"/>
    <w:rsid w:val="00697DA5"/>
    <w:rsid w:val="006A3E80"/>
    <w:rsid w:val="006B2A6E"/>
    <w:rsid w:val="006B2D5D"/>
    <w:rsid w:val="006B6661"/>
    <w:rsid w:val="006C37F2"/>
    <w:rsid w:val="006C6709"/>
    <w:rsid w:val="006D3507"/>
    <w:rsid w:val="006D4462"/>
    <w:rsid w:val="006D6CFB"/>
    <w:rsid w:val="006E2F0E"/>
    <w:rsid w:val="006E439E"/>
    <w:rsid w:val="006F176B"/>
    <w:rsid w:val="006F1AF4"/>
    <w:rsid w:val="006F6138"/>
    <w:rsid w:val="006F6765"/>
    <w:rsid w:val="006F7F0A"/>
    <w:rsid w:val="00701EEE"/>
    <w:rsid w:val="00706019"/>
    <w:rsid w:val="00720150"/>
    <w:rsid w:val="00724D38"/>
    <w:rsid w:val="00733DD0"/>
    <w:rsid w:val="00734EC0"/>
    <w:rsid w:val="007371CA"/>
    <w:rsid w:val="007442BE"/>
    <w:rsid w:val="00745B60"/>
    <w:rsid w:val="00766260"/>
    <w:rsid w:val="00767DDD"/>
    <w:rsid w:val="00777AA3"/>
    <w:rsid w:val="007836E9"/>
    <w:rsid w:val="00786D83"/>
    <w:rsid w:val="00786E78"/>
    <w:rsid w:val="00793162"/>
    <w:rsid w:val="007A42EC"/>
    <w:rsid w:val="007A5A4B"/>
    <w:rsid w:val="007A69E2"/>
    <w:rsid w:val="007B507F"/>
    <w:rsid w:val="007C3709"/>
    <w:rsid w:val="007C6E2E"/>
    <w:rsid w:val="007D162B"/>
    <w:rsid w:val="007D349C"/>
    <w:rsid w:val="007D38D6"/>
    <w:rsid w:val="007D785A"/>
    <w:rsid w:val="007E4BF3"/>
    <w:rsid w:val="007E74C9"/>
    <w:rsid w:val="007F7648"/>
    <w:rsid w:val="00800CBE"/>
    <w:rsid w:val="0080265C"/>
    <w:rsid w:val="008036F5"/>
    <w:rsid w:val="00803792"/>
    <w:rsid w:val="00805DAD"/>
    <w:rsid w:val="00810D60"/>
    <w:rsid w:val="00812818"/>
    <w:rsid w:val="00813D62"/>
    <w:rsid w:val="00816A2B"/>
    <w:rsid w:val="00825F9D"/>
    <w:rsid w:val="00832158"/>
    <w:rsid w:val="00834B1C"/>
    <w:rsid w:val="00843D80"/>
    <w:rsid w:val="008456DA"/>
    <w:rsid w:val="008474FA"/>
    <w:rsid w:val="00853FA9"/>
    <w:rsid w:val="00861E8C"/>
    <w:rsid w:val="008671E5"/>
    <w:rsid w:val="00874C1E"/>
    <w:rsid w:val="008804DE"/>
    <w:rsid w:val="00883BFD"/>
    <w:rsid w:val="00885E6D"/>
    <w:rsid w:val="008871EE"/>
    <w:rsid w:val="00890251"/>
    <w:rsid w:val="00892B23"/>
    <w:rsid w:val="00892C27"/>
    <w:rsid w:val="00896D96"/>
    <w:rsid w:val="008A0CDF"/>
    <w:rsid w:val="008A4087"/>
    <w:rsid w:val="008A54E1"/>
    <w:rsid w:val="008A73C2"/>
    <w:rsid w:val="008A7B66"/>
    <w:rsid w:val="008B0AC7"/>
    <w:rsid w:val="008B6A70"/>
    <w:rsid w:val="008C0E58"/>
    <w:rsid w:val="008D0EAE"/>
    <w:rsid w:val="008D2A9F"/>
    <w:rsid w:val="008D444B"/>
    <w:rsid w:val="008D6E73"/>
    <w:rsid w:val="008E7B32"/>
    <w:rsid w:val="008F11FB"/>
    <w:rsid w:val="008F7B2E"/>
    <w:rsid w:val="00910942"/>
    <w:rsid w:val="00932365"/>
    <w:rsid w:val="009345A8"/>
    <w:rsid w:val="009417FA"/>
    <w:rsid w:val="00947ED6"/>
    <w:rsid w:val="00952246"/>
    <w:rsid w:val="009536E0"/>
    <w:rsid w:val="0095772A"/>
    <w:rsid w:val="00960593"/>
    <w:rsid w:val="00961726"/>
    <w:rsid w:val="009668BE"/>
    <w:rsid w:val="00974BAF"/>
    <w:rsid w:val="009761F4"/>
    <w:rsid w:val="009771F5"/>
    <w:rsid w:val="009849BD"/>
    <w:rsid w:val="009907B0"/>
    <w:rsid w:val="00990DAF"/>
    <w:rsid w:val="00990E7B"/>
    <w:rsid w:val="009911FC"/>
    <w:rsid w:val="00992DC5"/>
    <w:rsid w:val="009934B9"/>
    <w:rsid w:val="00997F8E"/>
    <w:rsid w:val="009A14E9"/>
    <w:rsid w:val="009A2A93"/>
    <w:rsid w:val="009B5724"/>
    <w:rsid w:val="009B58E3"/>
    <w:rsid w:val="009C0131"/>
    <w:rsid w:val="009D3296"/>
    <w:rsid w:val="009D54B2"/>
    <w:rsid w:val="009E0D89"/>
    <w:rsid w:val="009E5CB6"/>
    <w:rsid w:val="009F5996"/>
    <w:rsid w:val="00A109B8"/>
    <w:rsid w:val="00A10DF6"/>
    <w:rsid w:val="00A118DD"/>
    <w:rsid w:val="00A25BDE"/>
    <w:rsid w:val="00A44E8F"/>
    <w:rsid w:val="00A50201"/>
    <w:rsid w:val="00A52125"/>
    <w:rsid w:val="00A60600"/>
    <w:rsid w:val="00A60ADF"/>
    <w:rsid w:val="00A652D7"/>
    <w:rsid w:val="00A67F4E"/>
    <w:rsid w:val="00A70E78"/>
    <w:rsid w:val="00A7320B"/>
    <w:rsid w:val="00A74BFA"/>
    <w:rsid w:val="00A75238"/>
    <w:rsid w:val="00A76704"/>
    <w:rsid w:val="00A8142D"/>
    <w:rsid w:val="00A84F1B"/>
    <w:rsid w:val="00A86F2C"/>
    <w:rsid w:val="00A90008"/>
    <w:rsid w:val="00AA12D4"/>
    <w:rsid w:val="00AA54AC"/>
    <w:rsid w:val="00AB3723"/>
    <w:rsid w:val="00AB3811"/>
    <w:rsid w:val="00AB7ECE"/>
    <w:rsid w:val="00AC0104"/>
    <w:rsid w:val="00AC0D21"/>
    <w:rsid w:val="00AC3B12"/>
    <w:rsid w:val="00AC6458"/>
    <w:rsid w:val="00AC6513"/>
    <w:rsid w:val="00AC7537"/>
    <w:rsid w:val="00AD7386"/>
    <w:rsid w:val="00AE30D4"/>
    <w:rsid w:val="00AE6C3B"/>
    <w:rsid w:val="00AF2482"/>
    <w:rsid w:val="00B137AE"/>
    <w:rsid w:val="00B20172"/>
    <w:rsid w:val="00B231C9"/>
    <w:rsid w:val="00B3132D"/>
    <w:rsid w:val="00B33458"/>
    <w:rsid w:val="00B355E6"/>
    <w:rsid w:val="00B51ED5"/>
    <w:rsid w:val="00B55370"/>
    <w:rsid w:val="00B63440"/>
    <w:rsid w:val="00B6634F"/>
    <w:rsid w:val="00B665EC"/>
    <w:rsid w:val="00B66B82"/>
    <w:rsid w:val="00B707D2"/>
    <w:rsid w:val="00B744E1"/>
    <w:rsid w:val="00B75424"/>
    <w:rsid w:val="00B779DC"/>
    <w:rsid w:val="00B821B7"/>
    <w:rsid w:val="00B8524E"/>
    <w:rsid w:val="00B911D9"/>
    <w:rsid w:val="00B93DC9"/>
    <w:rsid w:val="00BA30D6"/>
    <w:rsid w:val="00BA5E1B"/>
    <w:rsid w:val="00BA75AD"/>
    <w:rsid w:val="00BB0DF4"/>
    <w:rsid w:val="00BB3E64"/>
    <w:rsid w:val="00BB5443"/>
    <w:rsid w:val="00BB59FD"/>
    <w:rsid w:val="00BB6C54"/>
    <w:rsid w:val="00BC1956"/>
    <w:rsid w:val="00BC6179"/>
    <w:rsid w:val="00BD4871"/>
    <w:rsid w:val="00BD66CE"/>
    <w:rsid w:val="00C06F8A"/>
    <w:rsid w:val="00C07DEA"/>
    <w:rsid w:val="00C12A5B"/>
    <w:rsid w:val="00C13999"/>
    <w:rsid w:val="00C14EDF"/>
    <w:rsid w:val="00C1588B"/>
    <w:rsid w:val="00C16217"/>
    <w:rsid w:val="00C214CA"/>
    <w:rsid w:val="00C2163E"/>
    <w:rsid w:val="00C22D4D"/>
    <w:rsid w:val="00C266E5"/>
    <w:rsid w:val="00C269C9"/>
    <w:rsid w:val="00C35BF3"/>
    <w:rsid w:val="00C40F1C"/>
    <w:rsid w:val="00C50331"/>
    <w:rsid w:val="00C53E87"/>
    <w:rsid w:val="00C543DF"/>
    <w:rsid w:val="00C54D07"/>
    <w:rsid w:val="00C62F86"/>
    <w:rsid w:val="00C647C4"/>
    <w:rsid w:val="00C67F73"/>
    <w:rsid w:val="00C771C1"/>
    <w:rsid w:val="00C77DA0"/>
    <w:rsid w:val="00CA4DCE"/>
    <w:rsid w:val="00CA6528"/>
    <w:rsid w:val="00CA77B4"/>
    <w:rsid w:val="00CA78E5"/>
    <w:rsid w:val="00CB0C47"/>
    <w:rsid w:val="00CB4E6C"/>
    <w:rsid w:val="00CC08A5"/>
    <w:rsid w:val="00CC1D2F"/>
    <w:rsid w:val="00CC6F8F"/>
    <w:rsid w:val="00CC7708"/>
    <w:rsid w:val="00CD2EB8"/>
    <w:rsid w:val="00CD4AB7"/>
    <w:rsid w:val="00CE0367"/>
    <w:rsid w:val="00CE5985"/>
    <w:rsid w:val="00CE6658"/>
    <w:rsid w:val="00CE683A"/>
    <w:rsid w:val="00CF74A1"/>
    <w:rsid w:val="00CF7BED"/>
    <w:rsid w:val="00D06AC6"/>
    <w:rsid w:val="00D172EC"/>
    <w:rsid w:val="00D22042"/>
    <w:rsid w:val="00D22763"/>
    <w:rsid w:val="00D3565A"/>
    <w:rsid w:val="00D40A07"/>
    <w:rsid w:val="00D41A38"/>
    <w:rsid w:val="00D43243"/>
    <w:rsid w:val="00D449E2"/>
    <w:rsid w:val="00D47868"/>
    <w:rsid w:val="00D47CE0"/>
    <w:rsid w:val="00D50D48"/>
    <w:rsid w:val="00D524F7"/>
    <w:rsid w:val="00D54C62"/>
    <w:rsid w:val="00D56460"/>
    <w:rsid w:val="00D67B5F"/>
    <w:rsid w:val="00D72765"/>
    <w:rsid w:val="00D833B4"/>
    <w:rsid w:val="00D87D4B"/>
    <w:rsid w:val="00D96E0A"/>
    <w:rsid w:val="00DA1ED8"/>
    <w:rsid w:val="00DA3320"/>
    <w:rsid w:val="00DA4AE1"/>
    <w:rsid w:val="00DA5579"/>
    <w:rsid w:val="00DC027C"/>
    <w:rsid w:val="00DC0BC1"/>
    <w:rsid w:val="00DC5282"/>
    <w:rsid w:val="00DC7781"/>
    <w:rsid w:val="00DD399D"/>
    <w:rsid w:val="00DE2E99"/>
    <w:rsid w:val="00DE6CD1"/>
    <w:rsid w:val="00E018CC"/>
    <w:rsid w:val="00E01903"/>
    <w:rsid w:val="00E13B16"/>
    <w:rsid w:val="00E211F4"/>
    <w:rsid w:val="00E301AD"/>
    <w:rsid w:val="00E32A4B"/>
    <w:rsid w:val="00E35AFD"/>
    <w:rsid w:val="00E402F5"/>
    <w:rsid w:val="00E5039A"/>
    <w:rsid w:val="00E5218A"/>
    <w:rsid w:val="00E52C17"/>
    <w:rsid w:val="00E563B8"/>
    <w:rsid w:val="00E644C3"/>
    <w:rsid w:val="00E8092C"/>
    <w:rsid w:val="00E84449"/>
    <w:rsid w:val="00E91D5E"/>
    <w:rsid w:val="00E9234F"/>
    <w:rsid w:val="00E92BCE"/>
    <w:rsid w:val="00E9523B"/>
    <w:rsid w:val="00E95EAA"/>
    <w:rsid w:val="00EA3286"/>
    <w:rsid w:val="00EA6CBB"/>
    <w:rsid w:val="00EB06F0"/>
    <w:rsid w:val="00EB39E2"/>
    <w:rsid w:val="00EC3AF8"/>
    <w:rsid w:val="00ED149A"/>
    <w:rsid w:val="00ED1764"/>
    <w:rsid w:val="00ED539A"/>
    <w:rsid w:val="00ED5D9B"/>
    <w:rsid w:val="00EE486C"/>
    <w:rsid w:val="00EF0E2C"/>
    <w:rsid w:val="00EF2D54"/>
    <w:rsid w:val="00EF3A36"/>
    <w:rsid w:val="00EF5392"/>
    <w:rsid w:val="00F049AE"/>
    <w:rsid w:val="00F12551"/>
    <w:rsid w:val="00F14367"/>
    <w:rsid w:val="00F379D0"/>
    <w:rsid w:val="00F41CD1"/>
    <w:rsid w:val="00F43B39"/>
    <w:rsid w:val="00F452A9"/>
    <w:rsid w:val="00F46286"/>
    <w:rsid w:val="00F5504C"/>
    <w:rsid w:val="00F644DC"/>
    <w:rsid w:val="00F7325A"/>
    <w:rsid w:val="00F73BEE"/>
    <w:rsid w:val="00F83D78"/>
    <w:rsid w:val="00F9355F"/>
    <w:rsid w:val="00F9551A"/>
    <w:rsid w:val="00F96CAE"/>
    <w:rsid w:val="00FA17B6"/>
    <w:rsid w:val="00FA74C6"/>
    <w:rsid w:val="00FA7B72"/>
    <w:rsid w:val="00FB3B7C"/>
    <w:rsid w:val="00FB3CD6"/>
    <w:rsid w:val="00FB4936"/>
    <w:rsid w:val="00FC3C17"/>
    <w:rsid w:val="00FC65D1"/>
    <w:rsid w:val="00FD48F4"/>
    <w:rsid w:val="00FE11C7"/>
    <w:rsid w:val="00FE6E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D42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7" w:unhideWhenUsed="0" w:qFormat="1"/>
    <w:lsdException w:name="heading 2" w:uiPriority="7" w:qFormat="1"/>
    <w:lsdException w:name="heading 3" w:uiPriority="7" w:qFormat="1"/>
    <w:lsdException w:name="heading 4" w:uiPriority="7" w:qFormat="1"/>
    <w:lsdException w:name="heading 5" w:uiPriority="7" w:qFormat="1"/>
    <w:lsdException w:name="heading 6" w:uiPriority="7"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Bullet" w:uiPriority="10" w:qFormat="1"/>
    <w:lsdException w:name="List Number" w:uiPriority="15" w:qFormat="1"/>
    <w:lsdException w:name="List Bullet 2" w:uiPriority="10" w:qFormat="1"/>
    <w:lsdException w:name="List Bullet 3" w:uiPriority="10" w:qFormat="1"/>
    <w:lsdException w:name="List Bullet 4" w:uiPriority="10" w:qFormat="1"/>
    <w:lsdException w:name="List Bullet 5" w:uiPriority="10" w:qFormat="1"/>
    <w:lsdException w:name="List Number 2" w:uiPriority="15" w:qFormat="1"/>
    <w:lsdException w:name="List Number 3" w:uiPriority="15" w:qFormat="1"/>
    <w:lsdException w:name="List Number 4" w:uiPriority="15" w:qFormat="1"/>
    <w:lsdException w:name="List Number 5" w:uiPriority="15" w:qFormat="1"/>
    <w:lsdException w:name="Title" w:semiHidden="0" w:uiPriority="4" w:unhideWhenUsed="0" w:qFormat="1"/>
    <w:lsdException w:name="Default Paragraph Font" w:uiPriority="1"/>
    <w:lsdException w:name="Body Text" w:uiPriority="1"/>
    <w:lsdException w:name="Body Text Indent" w:uiPriority="1"/>
    <w:lsdException w:name="Subtitle" w:semiHidden="0" w:uiPriority="5" w:unhideWhenUsed="0" w:qFormat="1"/>
    <w:lsdException w:name="Date" w:uiPriority="31"/>
    <w:lsdException w:name="Body Text First Indent" w:uiPriority="1"/>
    <w:lsdException w:name="Block Text" w:uiPriority="29"/>
    <w:lsdException w:name="FollowedHyperlink" w:uiPriority="34"/>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7" w:unhideWhenUsed="0" w:qFormat="1"/>
    <w:lsdException w:name="Intense Quote" w:semiHidden="0" w:uiPriority="28"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23" w:unhideWhenUsed="0" w:qFormat="1"/>
    <w:lsdException w:name="Intense Reference" w:semiHidden="0" w:uiPriority="24"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spacing w:after="160" w:line="340" w:lineRule="exact"/>
      <w:textAlignment w:val="baseline"/>
    </w:pPr>
    <w:rPr>
      <w:rFonts w:asciiTheme="minorHAnsi" w:hAnsiTheme="minorHAnsi"/>
      <w:sz w:val="22"/>
    </w:rPr>
  </w:style>
  <w:style w:type="paragraph" w:styleId="Nadpis1">
    <w:name w:val="heading 1"/>
    <w:basedOn w:val="Normln"/>
    <w:link w:val="Nadpis1Char"/>
    <w:uiPriority w:val="7"/>
    <w:qFormat/>
    <w:pPr>
      <w:overflowPunct/>
      <w:autoSpaceDE/>
      <w:autoSpaceDN/>
      <w:adjustRightInd/>
      <w:spacing w:before="240" w:after="240" w:line="240" w:lineRule="auto"/>
      <w:textAlignment w:val="auto"/>
      <w:outlineLvl w:val="0"/>
    </w:pPr>
    <w:rPr>
      <w:rFonts w:ascii="Times New Roman" w:hAnsi="Times New Roman"/>
      <w:b/>
      <w:bCs/>
      <w:kern w:val="36"/>
      <w:sz w:val="43"/>
      <w:szCs w:val="43"/>
    </w:rPr>
  </w:style>
  <w:style w:type="paragraph" w:styleId="Nadpis2">
    <w:name w:val="heading 2"/>
    <w:basedOn w:val="Normln"/>
    <w:next w:val="Normln"/>
    <w:link w:val="Nadpis2Char"/>
    <w:uiPriority w:val="7"/>
    <w:unhideWhenUsed/>
    <w:qFormat/>
    <w:rsid w:val="00682587"/>
    <w:pPr>
      <w:keepNext/>
      <w:keepLines/>
      <w:overflowPunct/>
      <w:autoSpaceDE/>
      <w:autoSpaceDN/>
      <w:adjustRightInd/>
      <w:spacing w:before="80" w:after="0" w:line="293" w:lineRule="auto"/>
      <w:textAlignment w:val="auto"/>
      <w:outlineLvl w:val="1"/>
    </w:pPr>
    <w:rPr>
      <w:rFonts w:asciiTheme="majorHAnsi" w:eastAsiaTheme="majorEastAsia" w:hAnsiTheme="majorHAnsi" w:cstheme="majorBidi"/>
      <w:b/>
      <w:color w:val="000000" w:themeColor="text1"/>
      <w:sz w:val="26"/>
      <w:szCs w:val="26"/>
      <w:lang w:eastAsia="en-US"/>
    </w:rPr>
  </w:style>
  <w:style w:type="paragraph" w:styleId="Nadpis3">
    <w:name w:val="heading 3"/>
    <w:basedOn w:val="Normln"/>
    <w:next w:val="Normln"/>
    <w:link w:val="Nadpis3Char"/>
    <w:uiPriority w:val="7"/>
    <w:unhideWhenUsed/>
    <w:qFormat/>
    <w:rsid w:val="00682587"/>
    <w:pPr>
      <w:keepNext/>
      <w:keepLines/>
      <w:overflowPunct/>
      <w:autoSpaceDE/>
      <w:autoSpaceDN/>
      <w:adjustRightInd/>
      <w:spacing w:before="40" w:after="0" w:line="293" w:lineRule="auto"/>
      <w:textAlignment w:val="auto"/>
      <w:outlineLvl w:val="2"/>
    </w:pPr>
    <w:rPr>
      <w:rFonts w:asciiTheme="majorHAnsi" w:eastAsiaTheme="majorEastAsia" w:hAnsiTheme="majorHAnsi" w:cstheme="majorBidi"/>
      <w:b/>
      <w:color w:val="000000" w:themeColor="text1"/>
      <w:sz w:val="24"/>
      <w:szCs w:val="24"/>
      <w:lang w:eastAsia="en-US"/>
    </w:rPr>
  </w:style>
  <w:style w:type="paragraph" w:styleId="Nadpis4">
    <w:name w:val="heading 4"/>
    <w:basedOn w:val="Normln"/>
    <w:next w:val="Normln"/>
    <w:link w:val="Nadpis4Char"/>
    <w:uiPriority w:val="7"/>
    <w:unhideWhenUsed/>
    <w:qFormat/>
    <w:rsid w:val="00682587"/>
    <w:pPr>
      <w:keepNext/>
      <w:keepLines/>
      <w:overflowPunct/>
      <w:autoSpaceDE/>
      <w:autoSpaceDN/>
      <w:adjustRightInd/>
      <w:spacing w:before="40" w:after="0" w:line="293" w:lineRule="auto"/>
      <w:textAlignment w:val="auto"/>
      <w:outlineLvl w:val="3"/>
    </w:pPr>
    <w:rPr>
      <w:rFonts w:asciiTheme="majorHAnsi" w:eastAsiaTheme="majorEastAsia" w:hAnsiTheme="majorHAnsi" w:cstheme="majorBidi"/>
      <w:i/>
      <w:iCs/>
      <w:color w:val="000000" w:themeColor="text1"/>
      <w:sz w:val="24"/>
      <w:szCs w:val="22"/>
      <w:lang w:eastAsia="en-US"/>
    </w:rPr>
  </w:style>
  <w:style w:type="paragraph" w:styleId="Nadpis5">
    <w:name w:val="heading 5"/>
    <w:basedOn w:val="Normln"/>
    <w:next w:val="Normln"/>
    <w:link w:val="Nadpis5Char"/>
    <w:uiPriority w:val="7"/>
    <w:unhideWhenUsed/>
    <w:qFormat/>
    <w:rsid w:val="00682587"/>
    <w:pPr>
      <w:keepNext/>
      <w:keepLines/>
      <w:overflowPunct/>
      <w:autoSpaceDE/>
      <w:autoSpaceDN/>
      <w:adjustRightInd/>
      <w:spacing w:before="40" w:after="0" w:line="293" w:lineRule="auto"/>
      <w:textAlignment w:val="auto"/>
      <w:outlineLvl w:val="4"/>
    </w:pPr>
    <w:rPr>
      <w:rFonts w:asciiTheme="majorHAnsi" w:eastAsiaTheme="majorEastAsia" w:hAnsiTheme="majorHAnsi" w:cstheme="majorBidi"/>
      <w:b/>
      <w:color w:val="000000" w:themeColor="text1"/>
      <w:szCs w:val="22"/>
      <w:lang w:eastAsia="en-US"/>
    </w:rPr>
  </w:style>
  <w:style w:type="paragraph" w:styleId="Nadpis6">
    <w:name w:val="heading 6"/>
    <w:basedOn w:val="Normln"/>
    <w:next w:val="Normln"/>
    <w:link w:val="Nadpis6Char"/>
    <w:uiPriority w:val="7"/>
    <w:unhideWhenUsed/>
    <w:qFormat/>
    <w:rsid w:val="00682587"/>
    <w:pPr>
      <w:keepNext/>
      <w:keepLines/>
      <w:overflowPunct/>
      <w:autoSpaceDE/>
      <w:autoSpaceDN/>
      <w:adjustRightInd/>
      <w:spacing w:before="40" w:after="0" w:line="293" w:lineRule="auto"/>
      <w:textAlignment w:val="auto"/>
      <w:outlineLvl w:val="5"/>
    </w:pPr>
    <w:rPr>
      <w:rFonts w:asciiTheme="majorHAnsi" w:eastAsiaTheme="majorEastAsia" w:hAnsiTheme="majorHAnsi" w:cstheme="majorBidi"/>
      <w:i/>
      <w:color w:val="000000" w:themeColor="text1"/>
      <w:szCs w:val="22"/>
      <w:lang w:eastAsia="en-US"/>
    </w:rPr>
  </w:style>
  <w:style w:type="paragraph" w:styleId="Nadpis7">
    <w:name w:val="heading 7"/>
    <w:basedOn w:val="Normln"/>
    <w:next w:val="Normln"/>
    <w:link w:val="Nadpis7Char"/>
    <w:uiPriority w:val="7"/>
    <w:unhideWhenUsed/>
    <w:qFormat/>
    <w:rsid w:val="00682587"/>
    <w:pPr>
      <w:keepNext/>
      <w:keepLines/>
      <w:overflowPunct/>
      <w:autoSpaceDE/>
      <w:autoSpaceDN/>
      <w:adjustRightInd/>
      <w:spacing w:before="40" w:after="0" w:line="293" w:lineRule="auto"/>
      <w:textAlignment w:val="auto"/>
      <w:outlineLvl w:val="6"/>
    </w:pPr>
    <w:rPr>
      <w:rFonts w:asciiTheme="majorHAnsi" w:eastAsiaTheme="majorEastAsia" w:hAnsiTheme="majorHAnsi" w:cstheme="majorBidi"/>
      <w:iCs/>
      <w:color w:val="000000" w:themeColor="text1"/>
      <w:szCs w:val="22"/>
      <w:lang w:eastAsia="en-US"/>
    </w:rPr>
  </w:style>
  <w:style w:type="paragraph" w:styleId="Nadpis8">
    <w:name w:val="heading 8"/>
    <w:basedOn w:val="Normln"/>
    <w:next w:val="Normln"/>
    <w:link w:val="Nadpis8Char"/>
    <w:uiPriority w:val="7"/>
    <w:unhideWhenUsed/>
    <w:qFormat/>
    <w:rsid w:val="00682587"/>
    <w:pPr>
      <w:keepNext/>
      <w:keepLines/>
      <w:overflowPunct/>
      <w:autoSpaceDE/>
      <w:autoSpaceDN/>
      <w:adjustRightInd/>
      <w:spacing w:before="40" w:after="0" w:line="293" w:lineRule="auto"/>
      <w:textAlignment w:val="auto"/>
      <w:outlineLvl w:val="7"/>
    </w:pPr>
    <w:rPr>
      <w:rFonts w:asciiTheme="majorHAnsi" w:eastAsiaTheme="majorEastAsia" w:hAnsiTheme="majorHAnsi" w:cstheme="majorBidi"/>
      <w:b/>
      <w:color w:val="272727" w:themeColor="text1" w:themeTint="D8"/>
      <w:szCs w:val="21"/>
      <w:lang w:eastAsia="en-US"/>
    </w:rPr>
  </w:style>
  <w:style w:type="paragraph" w:styleId="Nadpis9">
    <w:name w:val="heading 9"/>
    <w:basedOn w:val="Normln"/>
    <w:next w:val="Normln"/>
    <w:link w:val="Nadpis9Char"/>
    <w:uiPriority w:val="7"/>
    <w:unhideWhenUsed/>
    <w:qFormat/>
    <w:rsid w:val="00682587"/>
    <w:pPr>
      <w:keepNext/>
      <w:keepLines/>
      <w:overflowPunct/>
      <w:autoSpaceDE/>
      <w:autoSpaceDN/>
      <w:adjustRightInd/>
      <w:spacing w:before="40" w:after="0" w:line="293" w:lineRule="auto"/>
      <w:textAlignment w:val="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Pr>
      <w:color w:val="0000FF"/>
      <w:u w:val="single"/>
    </w:rPr>
  </w:style>
  <w:style w:type="paragraph" w:styleId="Normlnweb">
    <w:name w:val="Normal (Web)"/>
    <w:basedOn w:val="Normln"/>
    <w:uiPriority w:val="99"/>
    <w:pPr>
      <w:overflowPunct/>
      <w:autoSpaceDE/>
      <w:autoSpaceDN/>
      <w:adjustRightInd/>
      <w:spacing w:before="100" w:beforeAutospacing="1" w:after="100" w:afterAutospacing="1" w:line="240" w:lineRule="auto"/>
      <w:textAlignment w:val="auto"/>
    </w:pPr>
    <w:rPr>
      <w:rFonts w:ascii="Times New Roman" w:eastAsiaTheme="minorHAnsi" w:hAnsi="Times New Roman"/>
      <w:sz w:val="24"/>
      <w:szCs w:val="24"/>
    </w:rPr>
  </w:style>
  <w:style w:type="character" w:styleId="Siln">
    <w:name w:val="Strong"/>
    <w:basedOn w:val="Standardnpsmoodstavce"/>
    <w:uiPriority w:val="22"/>
    <w:qFormat/>
    <w:rPr>
      <w:b/>
      <w:bCs/>
    </w:rPr>
  </w:style>
  <w:style w:type="character" w:styleId="Sledovanodkaz">
    <w:name w:val="FollowedHyperlink"/>
    <w:basedOn w:val="Standardnpsmoodstavce"/>
    <w:uiPriority w:val="34"/>
    <w:rPr>
      <w:color w:val="800080"/>
      <w:u w:val="single"/>
    </w:rPr>
  </w:style>
  <w:style w:type="paragraph" w:customStyle="1" w:styleId="Default">
    <w:name w:val="Default"/>
    <w:uiPriority w:val="99"/>
    <w:pPr>
      <w:autoSpaceDE w:val="0"/>
      <w:autoSpaceDN w:val="0"/>
      <w:adjustRightInd w:val="0"/>
    </w:pPr>
    <w:rPr>
      <w:color w:val="000000"/>
      <w:sz w:val="24"/>
      <w:szCs w:val="24"/>
    </w:r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pPr>
      <w:tabs>
        <w:tab w:val="center" w:pos="4536"/>
        <w:tab w:val="right" w:pos="9072"/>
      </w:tabs>
      <w:spacing w:after="0" w:line="240" w:lineRule="auto"/>
    </w:pPr>
  </w:style>
  <w:style w:type="character" w:customStyle="1" w:styleId="ZhlavChar">
    <w:name w:val="Záhlaví Char"/>
    <w:basedOn w:val="Standardnpsmoodstavce"/>
    <w:link w:val="Zhlav"/>
    <w:uiPriority w:val="99"/>
    <w:rPr>
      <w:rFonts w:asciiTheme="minorHAnsi" w:hAnsiTheme="minorHAnsi"/>
      <w:sz w:val="22"/>
    </w:rPr>
  </w:style>
  <w:style w:type="paragraph" w:styleId="Zpat">
    <w:name w:val="footer"/>
    <w:basedOn w:val="Normln"/>
    <w:link w:val="ZpatChar"/>
    <w:uiPriority w:val="99"/>
    <w:pPr>
      <w:tabs>
        <w:tab w:val="center" w:pos="4536"/>
        <w:tab w:val="right" w:pos="9072"/>
      </w:tabs>
      <w:spacing w:after="0" w:line="240" w:lineRule="auto"/>
    </w:pPr>
  </w:style>
  <w:style w:type="character" w:customStyle="1" w:styleId="ZpatChar">
    <w:name w:val="Zápatí Char"/>
    <w:basedOn w:val="Standardnpsmoodstavce"/>
    <w:link w:val="Zpat"/>
    <w:uiPriority w:val="99"/>
    <w:rPr>
      <w:rFonts w:asciiTheme="minorHAnsi" w:hAnsiTheme="minorHAnsi"/>
      <w:sz w:val="22"/>
    </w:rPr>
  </w:style>
  <w:style w:type="paragraph" w:styleId="Textbubliny">
    <w:name w:val="Balloon Text"/>
    <w:basedOn w:val="Normln"/>
    <w:link w:val="TextbublinyChar"/>
    <w:uiPriority w:val="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rPr>
      <w:rFonts w:ascii="Tahoma" w:hAnsi="Tahoma" w:cs="Tahoma"/>
      <w:sz w:val="16"/>
      <w:szCs w:val="16"/>
    </w:rPr>
  </w:style>
  <w:style w:type="character" w:customStyle="1" w:styleId="Nadpis1Char">
    <w:name w:val="Nadpis 1 Char"/>
    <w:basedOn w:val="Standardnpsmoodstavce"/>
    <w:link w:val="Nadpis1"/>
    <w:uiPriority w:val="7"/>
    <w:rPr>
      <w:b/>
      <w:bCs/>
      <w:kern w:val="36"/>
      <w:sz w:val="43"/>
      <w:szCs w:val="43"/>
    </w:rPr>
  </w:style>
  <w:style w:type="paragraph" w:styleId="Odstavecseseznamem">
    <w:name w:val="List Paragraph"/>
    <w:basedOn w:val="Normln"/>
    <w:uiPriority w:val="34"/>
    <w:qFormat/>
    <w:pPr>
      <w:ind w:left="720"/>
      <w:contextualSpacing/>
    </w:pPr>
  </w:style>
  <w:style w:type="paragraph" w:styleId="slovanseznam">
    <w:name w:val="List Number"/>
    <w:aliases w:val="Číslovaný seznam A"/>
    <w:basedOn w:val="Normln"/>
    <w:link w:val="slovanseznamChar"/>
    <w:uiPriority w:val="15"/>
    <w:qFormat/>
    <w:pPr>
      <w:numPr>
        <w:numId w:val="1"/>
      </w:numPr>
      <w:overflowPunct/>
      <w:autoSpaceDE/>
      <w:autoSpaceDN/>
      <w:adjustRightInd/>
      <w:spacing w:after="240" w:line="240" w:lineRule="auto"/>
      <w:jc w:val="both"/>
      <w:textAlignment w:val="auto"/>
    </w:pPr>
    <w:rPr>
      <w:rFonts w:ascii="Times New Roman" w:hAnsi="Times New Roman"/>
      <w:sz w:val="24"/>
      <w:lang w:val="en-GB" w:eastAsia="en-US"/>
    </w:rPr>
  </w:style>
  <w:style w:type="paragraph" w:customStyle="1" w:styleId="ListNumberLevel2">
    <w:name w:val="List Number (Level 2)"/>
    <w:basedOn w:val="Normln"/>
    <w:pPr>
      <w:numPr>
        <w:ilvl w:val="1"/>
        <w:numId w:val="1"/>
      </w:numPr>
      <w:overflowPunct/>
      <w:autoSpaceDE/>
      <w:autoSpaceDN/>
      <w:adjustRightInd/>
      <w:spacing w:after="240" w:line="240" w:lineRule="auto"/>
      <w:jc w:val="both"/>
      <w:textAlignment w:val="auto"/>
    </w:pPr>
    <w:rPr>
      <w:rFonts w:ascii="Times New Roman" w:hAnsi="Times New Roman"/>
      <w:sz w:val="24"/>
      <w:lang w:val="en-GB" w:eastAsia="en-US"/>
    </w:rPr>
  </w:style>
  <w:style w:type="paragraph" w:customStyle="1" w:styleId="ListNumberLevel3">
    <w:name w:val="List Number (Level 3)"/>
    <w:basedOn w:val="Normln"/>
    <w:pPr>
      <w:numPr>
        <w:ilvl w:val="2"/>
        <w:numId w:val="1"/>
      </w:numPr>
      <w:overflowPunct/>
      <w:autoSpaceDE/>
      <w:autoSpaceDN/>
      <w:adjustRightInd/>
      <w:spacing w:after="240" w:line="240" w:lineRule="auto"/>
      <w:jc w:val="both"/>
      <w:textAlignment w:val="auto"/>
    </w:pPr>
    <w:rPr>
      <w:rFonts w:ascii="Times New Roman" w:hAnsi="Times New Roman"/>
      <w:sz w:val="24"/>
      <w:lang w:val="en-GB" w:eastAsia="en-US"/>
    </w:rPr>
  </w:style>
  <w:style w:type="paragraph" w:customStyle="1" w:styleId="ListNumberLevel4">
    <w:name w:val="List Number (Level 4)"/>
    <w:basedOn w:val="Normln"/>
    <w:pPr>
      <w:numPr>
        <w:ilvl w:val="3"/>
        <w:numId w:val="1"/>
      </w:numPr>
      <w:overflowPunct/>
      <w:autoSpaceDE/>
      <w:autoSpaceDN/>
      <w:adjustRightInd/>
      <w:spacing w:after="240" w:line="240" w:lineRule="auto"/>
      <w:jc w:val="both"/>
      <w:textAlignment w:val="auto"/>
    </w:pPr>
    <w:rPr>
      <w:rFonts w:ascii="Times New Roman" w:hAnsi="Times New Roman"/>
      <w:sz w:val="24"/>
      <w:lang w:val="en-GB" w:eastAsia="en-US"/>
    </w:rPr>
  </w:style>
  <w:style w:type="character" w:customStyle="1" w:styleId="slovanseznamChar">
    <w:name w:val="Číslovaný seznam Char"/>
    <w:aliases w:val="Číslovaný seznam A Char"/>
    <w:link w:val="slovanseznam"/>
    <w:uiPriority w:val="15"/>
    <w:rPr>
      <w:sz w:val="24"/>
      <w:lang w:val="en-GB" w:eastAsia="en-US"/>
    </w:rPr>
  </w:style>
  <w:style w:type="paragraph" w:styleId="Textpoznpodarou">
    <w:name w:val="footnote text"/>
    <w:aliases w:val="fn,Schriftart: 9 pt,Schriftart: 10 pt,Schriftart: 8 pt,WB-Fußnotentext,WB-Fußnotentext Char Char Char Char Char,WB-Fußnotentext Char,WB-Fußnotentext Car,Footnote Text Char2 Char,Footnote Text Char Char Char1,Schriftar,9,Fußnote,f"/>
    <w:basedOn w:val="Normln"/>
    <w:link w:val="TextpoznpodarouChar"/>
    <w:uiPriority w:val="99"/>
    <w:qFormat/>
    <w:pPr>
      <w:overflowPunct/>
      <w:autoSpaceDE/>
      <w:autoSpaceDN/>
      <w:adjustRightInd/>
      <w:spacing w:after="0" w:line="240" w:lineRule="auto"/>
      <w:textAlignment w:val="auto"/>
    </w:pPr>
    <w:rPr>
      <w:rFonts w:eastAsiaTheme="minorHAnsi" w:cstheme="minorBidi"/>
      <w:sz w:val="20"/>
      <w:lang w:val="en-GB" w:eastAsia="en-US"/>
    </w:rPr>
  </w:style>
  <w:style w:type="character" w:customStyle="1" w:styleId="TextpoznpodarouChar">
    <w:name w:val="Text pozn. pod čarou Char"/>
    <w:aliases w:val="fn Char,Schriftart: 9 pt Char,Schriftart: 10 pt Char,Schriftart: 8 pt Char,WB-Fußnotentext Char1,WB-Fußnotentext Char Char Char Char Char Char,WB-Fußnotentext Char Char,WB-Fußnotentext Car Char,Footnote Text Char2 Char Char"/>
    <w:basedOn w:val="Standardnpsmoodstavce"/>
    <w:link w:val="Textpoznpodarou"/>
    <w:uiPriority w:val="99"/>
    <w:rPr>
      <w:rFonts w:asciiTheme="minorHAnsi" w:eastAsiaTheme="minorHAnsi" w:hAnsiTheme="minorHAnsi" w:cstheme="minorBidi"/>
      <w:lang w:val="en-GB" w:eastAsia="en-US"/>
    </w:rPr>
  </w:style>
  <w:style w:type="character" w:styleId="Odkaznakoment">
    <w:name w:val="annotation reference"/>
    <w:basedOn w:val="Standardnpsmoodstavce"/>
    <w:uiPriority w:val="99"/>
    <w:semiHidden/>
    <w:unhideWhenUsed/>
    <w:rsid w:val="00F46286"/>
    <w:rPr>
      <w:sz w:val="16"/>
      <w:szCs w:val="16"/>
    </w:rPr>
  </w:style>
  <w:style w:type="paragraph" w:styleId="Textkomente">
    <w:name w:val="annotation text"/>
    <w:basedOn w:val="Normln"/>
    <w:link w:val="TextkomenteChar"/>
    <w:uiPriority w:val="99"/>
    <w:unhideWhenUsed/>
    <w:rsid w:val="00F46286"/>
    <w:pPr>
      <w:spacing w:line="240" w:lineRule="auto"/>
    </w:pPr>
    <w:rPr>
      <w:sz w:val="20"/>
    </w:rPr>
  </w:style>
  <w:style w:type="character" w:customStyle="1" w:styleId="TextkomenteChar">
    <w:name w:val="Text komentáře Char"/>
    <w:basedOn w:val="Standardnpsmoodstavce"/>
    <w:link w:val="Textkomente"/>
    <w:uiPriority w:val="99"/>
    <w:rsid w:val="00F46286"/>
    <w:rPr>
      <w:rFonts w:asciiTheme="minorHAnsi" w:hAnsiTheme="minorHAnsi"/>
    </w:rPr>
  </w:style>
  <w:style w:type="paragraph" w:styleId="Pedmtkomente">
    <w:name w:val="annotation subject"/>
    <w:basedOn w:val="Textkomente"/>
    <w:next w:val="Textkomente"/>
    <w:link w:val="PedmtkomenteChar"/>
    <w:uiPriority w:val="99"/>
    <w:semiHidden/>
    <w:unhideWhenUsed/>
    <w:rsid w:val="00F46286"/>
    <w:rPr>
      <w:b/>
      <w:bCs/>
    </w:rPr>
  </w:style>
  <w:style w:type="character" w:customStyle="1" w:styleId="PedmtkomenteChar">
    <w:name w:val="Předmět komentáře Char"/>
    <w:basedOn w:val="TextkomenteChar"/>
    <w:link w:val="Pedmtkomente"/>
    <w:uiPriority w:val="99"/>
    <w:semiHidden/>
    <w:rsid w:val="00F46286"/>
    <w:rPr>
      <w:rFonts w:asciiTheme="minorHAnsi" w:hAnsiTheme="minorHAnsi"/>
      <w:b/>
      <w:bCs/>
    </w:rPr>
  </w:style>
  <w:style w:type="paragraph" w:styleId="Prosttext">
    <w:name w:val="Plain Text"/>
    <w:basedOn w:val="Normln"/>
    <w:link w:val="ProsttextChar"/>
    <w:uiPriority w:val="99"/>
    <w:semiHidden/>
    <w:unhideWhenUsed/>
    <w:rsid w:val="00F049AE"/>
    <w:pPr>
      <w:overflowPunct/>
      <w:autoSpaceDE/>
      <w:autoSpaceDN/>
      <w:adjustRightInd/>
      <w:spacing w:after="0" w:line="240" w:lineRule="auto"/>
      <w:textAlignment w:val="auto"/>
    </w:pPr>
    <w:rPr>
      <w:rFonts w:ascii="Calibri" w:eastAsiaTheme="minorHAnsi" w:hAnsi="Calibri" w:cs="Consolas"/>
      <w:szCs w:val="21"/>
      <w:lang w:eastAsia="en-US"/>
    </w:rPr>
  </w:style>
  <w:style w:type="character" w:customStyle="1" w:styleId="ProsttextChar">
    <w:name w:val="Prostý text Char"/>
    <w:basedOn w:val="Standardnpsmoodstavce"/>
    <w:link w:val="Prosttext"/>
    <w:uiPriority w:val="99"/>
    <w:semiHidden/>
    <w:rsid w:val="00F049AE"/>
    <w:rPr>
      <w:rFonts w:ascii="Calibri" w:eastAsiaTheme="minorHAnsi" w:hAnsi="Calibri" w:cs="Consolas"/>
      <w:sz w:val="22"/>
      <w:szCs w:val="21"/>
      <w:lang w:eastAsia="en-US"/>
    </w:rPr>
  </w:style>
  <w:style w:type="character" w:styleId="Znakapoznpodarou">
    <w:name w:val="footnote reference"/>
    <w:basedOn w:val="Standardnpsmoodstavce"/>
    <w:uiPriority w:val="99"/>
    <w:unhideWhenUsed/>
    <w:rsid w:val="001F27C6"/>
    <w:rPr>
      <w:vertAlign w:val="superscript"/>
    </w:rPr>
  </w:style>
  <w:style w:type="table" w:customStyle="1" w:styleId="Mkatabulky1">
    <w:name w:val="Mřížka tabulky1"/>
    <w:basedOn w:val="Normlntabulka"/>
    <w:next w:val="Mkatabulky"/>
    <w:uiPriority w:val="59"/>
    <w:rsid w:val="00367473"/>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7"/>
    <w:rsid w:val="00682587"/>
    <w:rPr>
      <w:rFonts w:asciiTheme="majorHAnsi" w:eastAsiaTheme="majorEastAsia" w:hAnsiTheme="majorHAnsi" w:cstheme="majorBidi"/>
      <w:b/>
      <w:color w:val="000000" w:themeColor="text1"/>
      <w:sz w:val="26"/>
      <w:szCs w:val="26"/>
      <w:lang w:eastAsia="en-US"/>
    </w:rPr>
  </w:style>
  <w:style w:type="character" w:customStyle="1" w:styleId="Nadpis3Char">
    <w:name w:val="Nadpis 3 Char"/>
    <w:basedOn w:val="Standardnpsmoodstavce"/>
    <w:link w:val="Nadpis3"/>
    <w:uiPriority w:val="7"/>
    <w:rsid w:val="00682587"/>
    <w:rPr>
      <w:rFonts w:asciiTheme="majorHAnsi" w:eastAsiaTheme="majorEastAsia" w:hAnsiTheme="majorHAnsi" w:cstheme="majorBidi"/>
      <w:b/>
      <w:color w:val="000000" w:themeColor="text1"/>
      <w:sz w:val="24"/>
      <w:szCs w:val="24"/>
      <w:lang w:eastAsia="en-US"/>
    </w:rPr>
  </w:style>
  <w:style w:type="character" w:customStyle="1" w:styleId="Nadpis4Char">
    <w:name w:val="Nadpis 4 Char"/>
    <w:basedOn w:val="Standardnpsmoodstavce"/>
    <w:link w:val="Nadpis4"/>
    <w:uiPriority w:val="7"/>
    <w:rsid w:val="00682587"/>
    <w:rPr>
      <w:rFonts w:asciiTheme="majorHAnsi" w:eastAsiaTheme="majorEastAsia" w:hAnsiTheme="majorHAnsi" w:cstheme="majorBidi"/>
      <w:i/>
      <w:iCs/>
      <w:color w:val="000000" w:themeColor="text1"/>
      <w:sz w:val="24"/>
      <w:szCs w:val="22"/>
      <w:lang w:eastAsia="en-US"/>
    </w:rPr>
  </w:style>
  <w:style w:type="character" w:customStyle="1" w:styleId="Nadpis5Char">
    <w:name w:val="Nadpis 5 Char"/>
    <w:basedOn w:val="Standardnpsmoodstavce"/>
    <w:link w:val="Nadpis5"/>
    <w:uiPriority w:val="7"/>
    <w:rsid w:val="00682587"/>
    <w:rPr>
      <w:rFonts w:asciiTheme="majorHAnsi" w:eastAsiaTheme="majorEastAsia" w:hAnsiTheme="majorHAnsi" w:cstheme="majorBidi"/>
      <w:b/>
      <w:color w:val="000000" w:themeColor="text1"/>
      <w:sz w:val="22"/>
      <w:szCs w:val="22"/>
      <w:lang w:eastAsia="en-US"/>
    </w:rPr>
  </w:style>
  <w:style w:type="character" w:customStyle="1" w:styleId="Nadpis6Char">
    <w:name w:val="Nadpis 6 Char"/>
    <w:basedOn w:val="Standardnpsmoodstavce"/>
    <w:link w:val="Nadpis6"/>
    <w:uiPriority w:val="7"/>
    <w:rsid w:val="00682587"/>
    <w:rPr>
      <w:rFonts w:asciiTheme="majorHAnsi" w:eastAsiaTheme="majorEastAsia" w:hAnsiTheme="majorHAnsi" w:cstheme="majorBidi"/>
      <w:i/>
      <w:color w:val="000000" w:themeColor="text1"/>
      <w:sz w:val="22"/>
      <w:szCs w:val="22"/>
      <w:lang w:eastAsia="en-US"/>
    </w:rPr>
  </w:style>
  <w:style w:type="character" w:customStyle="1" w:styleId="Nadpis7Char">
    <w:name w:val="Nadpis 7 Char"/>
    <w:basedOn w:val="Standardnpsmoodstavce"/>
    <w:link w:val="Nadpis7"/>
    <w:uiPriority w:val="7"/>
    <w:rsid w:val="00682587"/>
    <w:rPr>
      <w:rFonts w:asciiTheme="majorHAnsi" w:eastAsiaTheme="majorEastAsia" w:hAnsiTheme="majorHAnsi" w:cstheme="majorBidi"/>
      <w:iCs/>
      <w:color w:val="000000" w:themeColor="text1"/>
      <w:sz w:val="22"/>
      <w:szCs w:val="22"/>
      <w:lang w:eastAsia="en-US"/>
    </w:rPr>
  </w:style>
  <w:style w:type="character" w:customStyle="1" w:styleId="Nadpis8Char">
    <w:name w:val="Nadpis 8 Char"/>
    <w:basedOn w:val="Standardnpsmoodstavce"/>
    <w:link w:val="Nadpis8"/>
    <w:uiPriority w:val="7"/>
    <w:rsid w:val="00682587"/>
    <w:rPr>
      <w:rFonts w:asciiTheme="majorHAnsi" w:eastAsiaTheme="majorEastAsia" w:hAnsiTheme="majorHAnsi" w:cstheme="majorBidi"/>
      <w:b/>
      <w:color w:val="272727" w:themeColor="text1" w:themeTint="D8"/>
      <w:sz w:val="22"/>
      <w:szCs w:val="21"/>
      <w:lang w:eastAsia="en-US"/>
    </w:rPr>
  </w:style>
  <w:style w:type="character" w:customStyle="1" w:styleId="Nadpis9Char">
    <w:name w:val="Nadpis 9 Char"/>
    <w:basedOn w:val="Standardnpsmoodstavce"/>
    <w:link w:val="Nadpis9"/>
    <w:uiPriority w:val="7"/>
    <w:rsid w:val="00682587"/>
    <w:rPr>
      <w:rFonts w:asciiTheme="majorHAnsi" w:eastAsiaTheme="majorEastAsia" w:hAnsiTheme="majorHAnsi" w:cstheme="majorBidi"/>
      <w:i/>
      <w:iCs/>
      <w:color w:val="272727" w:themeColor="text1" w:themeTint="D8"/>
      <w:sz w:val="21"/>
      <w:szCs w:val="21"/>
      <w:lang w:eastAsia="en-US"/>
    </w:rPr>
  </w:style>
  <w:style w:type="numbering" w:customStyle="1" w:styleId="VariantaB-odrky">
    <w:name w:val="Varianta B - odrážky"/>
    <w:uiPriority w:val="99"/>
    <w:rsid w:val="00682587"/>
    <w:pPr>
      <w:numPr>
        <w:numId w:val="5"/>
      </w:numPr>
    </w:pPr>
  </w:style>
  <w:style w:type="numbering" w:customStyle="1" w:styleId="VariantaA-odrky">
    <w:name w:val="Varianta A - odrážky"/>
    <w:uiPriority w:val="99"/>
    <w:rsid w:val="00682587"/>
    <w:pPr>
      <w:numPr>
        <w:numId w:val="6"/>
      </w:numPr>
    </w:pPr>
  </w:style>
  <w:style w:type="numbering" w:customStyle="1" w:styleId="VariantaA-sla">
    <w:name w:val="Varianta A - čísla"/>
    <w:uiPriority w:val="99"/>
    <w:rsid w:val="00682587"/>
    <w:pPr>
      <w:numPr>
        <w:numId w:val="8"/>
      </w:numPr>
    </w:pPr>
  </w:style>
  <w:style w:type="numbering" w:customStyle="1" w:styleId="VariantaB-sla">
    <w:name w:val="Varianta B - čísla"/>
    <w:uiPriority w:val="99"/>
    <w:rsid w:val="00682587"/>
    <w:pPr>
      <w:numPr>
        <w:numId w:val="7"/>
      </w:numPr>
    </w:pPr>
  </w:style>
  <w:style w:type="paragraph" w:styleId="Nzev">
    <w:name w:val="Title"/>
    <w:basedOn w:val="Normln"/>
    <w:next w:val="Normln"/>
    <w:link w:val="NzevChar"/>
    <w:uiPriority w:val="4"/>
    <w:qFormat/>
    <w:rsid w:val="00682587"/>
    <w:pPr>
      <w:keepNext/>
      <w:keepLines/>
      <w:overflowPunct/>
      <w:autoSpaceDE/>
      <w:autoSpaceDN/>
      <w:adjustRightInd/>
      <w:spacing w:after="0" w:line="240" w:lineRule="auto"/>
      <w:contextualSpacing/>
      <w:textAlignment w:val="auto"/>
    </w:pPr>
    <w:rPr>
      <w:rFonts w:asciiTheme="majorHAnsi" w:eastAsiaTheme="majorEastAsia" w:hAnsiTheme="majorHAnsi" w:cstheme="majorBidi"/>
      <w:color w:val="000000" w:themeColor="text1"/>
      <w:spacing w:val="-10"/>
      <w:kern w:val="28"/>
      <w:sz w:val="48"/>
      <w:szCs w:val="56"/>
      <w:lang w:eastAsia="en-US"/>
    </w:rPr>
  </w:style>
  <w:style w:type="character" w:customStyle="1" w:styleId="NzevChar">
    <w:name w:val="Název Char"/>
    <w:basedOn w:val="Standardnpsmoodstavce"/>
    <w:link w:val="Nzev"/>
    <w:uiPriority w:val="4"/>
    <w:rsid w:val="00682587"/>
    <w:rPr>
      <w:rFonts w:asciiTheme="majorHAnsi" w:eastAsiaTheme="majorEastAsia" w:hAnsiTheme="majorHAnsi" w:cstheme="majorBidi"/>
      <w:color w:val="000000" w:themeColor="text1"/>
      <w:spacing w:val="-10"/>
      <w:kern w:val="28"/>
      <w:sz w:val="48"/>
      <w:szCs w:val="56"/>
      <w:lang w:eastAsia="en-US"/>
    </w:rPr>
  </w:style>
  <w:style w:type="character" w:styleId="Zdraznnintenzivn">
    <w:name w:val="Intense Emphasis"/>
    <w:basedOn w:val="Standardnpsmoodstavce"/>
    <w:uiPriority w:val="21"/>
    <w:qFormat/>
    <w:rsid w:val="00682587"/>
    <w:rPr>
      <w:b/>
      <w:i/>
      <w:iCs/>
      <w:color w:val="000000" w:themeColor="text1"/>
    </w:rPr>
  </w:style>
  <w:style w:type="paragraph" w:styleId="Vrazncitt">
    <w:name w:val="Intense Quote"/>
    <w:basedOn w:val="Normln"/>
    <w:next w:val="Normln"/>
    <w:link w:val="VrazncittChar"/>
    <w:uiPriority w:val="28"/>
    <w:qFormat/>
    <w:rsid w:val="00682587"/>
    <w:pPr>
      <w:keepLines/>
      <w:pBdr>
        <w:top w:val="single" w:sz="4" w:space="10" w:color="000000" w:themeColor="text1"/>
        <w:bottom w:val="single" w:sz="4" w:space="10" w:color="000000" w:themeColor="text1"/>
      </w:pBdr>
      <w:overflowPunct/>
      <w:autoSpaceDE/>
      <w:autoSpaceDN/>
      <w:adjustRightInd/>
      <w:spacing w:before="240" w:after="240" w:line="293" w:lineRule="auto"/>
      <w:ind w:left="357" w:right="357"/>
      <w:textAlignment w:val="auto"/>
    </w:pPr>
    <w:rPr>
      <w:rFonts w:eastAsiaTheme="minorHAnsi" w:cstheme="minorBidi"/>
      <w:i/>
      <w:iCs/>
      <w:color w:val="000000" w:themeColor="text1"/>
      <w:szCs w:val="22"/>
      <w:lang w:eastAsia="en-US"/>
    </w:rPr>
  </w:style>
  <w:style w:type="character" w:customStyle="1" w:styleId="VrazncittChar">
    <w:name w:val="Výrazný citát Char"/>
    <w:basedOn w:val="Standardnpsmoodstavce"/>
    <w:link w:val="Vrazncitt"/>
    <w:uiPriority w:val="28"/>
    <w:rsid w:val="00682587"/>
    <w:rPr>
      <w:rFonts w:asciiTheme="minorHAnsi" w:eastAsiaTheme="minorHAnsi" w:hAnsiTheme="minorHAnsi" w:cstheme="minorBidi"/>
      <w:i/>
      <w:iCs/>
      <w:color w:val="000000" w:themeColor="text1"/>
      <w:sz w:val="22"/>
      <w:szCs w:val="22"/>
      <w:lang w:eastAsia="en-US"/>
    </w:rPr>
  </w:style>
  <w:style w:type="character" w:styleId="Odkazintenzivn">
    <w:name w:val="Intense Reference"/>
    <w:basedOn w:val="Standardnpsmoodstavce"/>
    <w:uiPriority w:val="24"/>
    <w:qFormat/>
    <w:rsid w:val="00682587"/>
    <w:rPr>
      <w:b/>
      <w:bCs/>
      <w:smallCaps/>
      <w:color w:val="000000" w:themeColor="text1"/>
      <w:spacing w:val="5"/>
    </w:rPr>
  </w:style>
  <w:style w:type="paragraph" w:styleId="slovanseznam2">
    <w:name w:val="List Number 2"/>
    <w:aliases w:val="Číslovaný seznam A 2"/>
    <w:basedOn w:val="Normln"/>
    <w:uiPriority w:val="15"/>
    <w:qFormat/>
    <w:rsid w:val="00682587"/>
    <w:pPr>
      <w:overflowPunct/>
      <w:autoSpaceDE/>
      <w:autoSpaceDN/>
      <w:adjustRightInd/>
      <w:spacing w:after="0" w:line="293" w:lineRule="auto"/>
      <w:ind w:left="851" w:hanging="494"/>
      <w:contextualSpacing/>
      <w:textAlignment w:val="auto"/>
    </w:pPr>
    <w:rPr>
      <w:rFonts w:eastAsiaTheme="minorHAnsi" w:cstheme="minorBidi"/>
      <w:color w:val="000000" w:themeColor="text1"/>
      <w:szCs w:val="22"/>
      <w:lang w:eastAsia="en-US"/>
    </w:rPr>
  </w:style>
  <w:style w:type="paragraph" w:styleId="slovanseznam3">
    <w:name w:val="List Number 3"/>
    <w:aliases w:val="Číslovaný seznam A 3"/>
    <w:basedOn w:val="Normln"/>
    <w:uiPriority w:val="15"/>
    <w:qFormat/>
    <w:rsid w:val="00682587"/>
    <w:pPr>
      <w:overflowPunct/>
      <w:autoSpaceDE/>
      <w:autoSpaceDN/>
      <w:adjustRightInd/>
      <w:spacing w:after="0" w:line="293" w:lineRule="auto"/>
      <w:ind w:left="1474" w:hanging="623"/>
      <w:contextualSpacing/>
      <w:textAlignment w:val="auto"/>
    </w:pPr>
    <w:rPr>
      <w:rFonts w:eastAsiaTheme="minorHAnsi" w:cstheme="minorBidi"/>
      <w:color w:val="000000" w:themeColor="text1"/>
      <w:szCs w:val="22"/>
      <w:lang w:eastAsia="en-US"/>
    </w:rPr>
  </w:style>
  <w:style w:type="paragraph" w:styleId="slovanseznam4">
    <w:name w:val="List Number 4"/>
    <w:aliases w:val="Číslovaný seznam A 4"/>
    <w:basedOn w:val="Normln"/>
    <w:uiPriority w:val="15"/>
    <w:qFormat/>
    <w:rsid w:val="00682587"/>
    <w:pPr>
      <w:tabs>
        <w:tab w:val="num" w:pos="1474"/>
      </w:tabs>
      <w:overflowPunct/>
      <w:autoSpaceDE/>
      <w:autoSpaceDN/>
      <w:adjustRightInd/>
      <w:spacing w:after="0" w:line="293" w:lineRule="auto"/>
      <w:ind w:left="2268" w:hanging="794"/>
      <w:contextualSpacing/>
      <w:textAlignment w:val="auto"/>
    </w:pPr>
    <w:rPr>
      <w:rFonts w:eastAsiaTheme="minorHAnsi" w:cstheme="minorBidi"/>
      <w:color w:val="000000" w:themeColor="text1"/>
      <w:szCs w:val="22"/>
      <w:lang w:eastAsia="en-US"/>
    </w:rPr>
  </w:style>
  <w:style w:type="paragraph" w:styleId="slovanseznam5">
    <w:name w:val="List Number 5"/>
    <w:aliases w:val="Číslovaný seznam A 5"/>
    <w:basedOn w:val="Normln"/>
    <w:uiPriority w:val="15"/>
    <w:qFormat/>
    <w:rsid w:val="00682587"/>
    <w:pPr>
      <w:overflowPunct/>
      <w:autoSpaceDE/>
      <w:autoSpaceDN/>
      <w:adjustRightInd/>
      <w:spacing w:after="0" w:line="293" w:lineRule="auto"/>
      <w:ind w:left="3232" w:hanging="964"/>
      <w:contextualSpacing/>
      <w:textAlignment w:val="auto"/>
    </w:pPr>
    <w:rPr>
      <w:rFonts w:eastAsiaTheme="minorHAnsi" w:cstheme="minorBidi"/>
      <w:color w:val="000000" w:themeColor="text1"/>
      <w:szCs w:val="22"/>
      <w:lang w:eastAsia="en-US"/>
    </w:rPr>
  </w:style>
  <w:style w:type="paragraph" w:customStyle="1" w:styleId="slovanseznamB">
    <w:name w:val="Číslovaný seznam B"/>
    <w:basedOn w:val="Normln"/>
    <w:uiPriority w:val="16"/>
    <w:qFormat/>
    <w:rsid w:val="00682587"/>
    <w:pPr>
      <w:numPr>
        <w:numId w:val="9"/>
      </w:numPr>
      <w:overflowPunct/>
      <w:autoSpaceDE/>
      <w:autoSpaceDN/>
      <w:adjustRightInd/>
      <w:spacing w:after="0" w:line="293" w:lineRule="auto"/>
      <w:textAlignment w:val="auto"/>
    </w:pPr>
    <w:rPr>
      <w:rFonts w:eastAsiaTheme="minorHAnsi" w:cstheme="minorBidi"/>
      <w:color w:val="000000" w:themeColor="text1"/>
      <w:szCs w:val="22"/>
      <w:lang w:eastAsia="en-US"/>
    </w:rPr>
  </w:style>
  <w:style w:type="paragraph" w:customStyle="1" w:styleId="slovanseznamB2">
    <w:name w:val="Číslovaný seznam B 2"/>
    <w:basedOn w:val="Normln"/>
    <w:uiPriority w:val="16"/>
    <w:qFormat/>
    <w:rsid w:val="00682587"/>
    <w:pPr>
      <w:numPr>
        <w:ilvl w:val="1"/>
        <w:numId w:val="9"/>
      </w:numPr>
      <w:overflowPunct/>
      <w:autoSpaceDE/>
      <w:autoSpaceDN/>
      <w:adjustRightInd/>
      <w:spacing w:after="0" w:line="293" w:lineRule="auto"/>
      <w:textAlignment w:val="auto"/>
    </w:pPr>
    <w:rPr>
      <w:rFonts w:eastAsiaTheme="minorHAnsi" w:cstheme="minorBidi"/>
      <w:color w:val="000000" w:themeColor="text1"/>
      <w:szCs w:val="22"/>
      <w:lang w:eastAsia="en-US"/>
    </w:rPr>
  </w:style>
  <w:style w:type="paragraph" w:customStyle="1" w:styleId="slovanseznamB3">
    <w:name w:val="Číslovaný seznam B 3"/>
    <w:basedOn w:val="Normln"/>
    <w:uiPriority w:val="16"/>
    <w:qFormat/>
    <w:rsid w:val="00682587"/>
    <w:pPr>
      <w:numPr>
        <w:ilvl w:val="2"/>
        <w:numId w:val="9"/>
      </w:numPr>
      <w:overflowPunct/>
      <w:autoSpaceDE/>
      <w:autoSpaceDN/>
      <w:adjustRightInd/>
      <w:spacing w:after="0" w:line="293" w:lineRule="auto"/>
      <w:textAlignment w:val="auto"/>
    </w:pPr>
    <w:rPr>
      <w:rFonts w:eastAsiaTheme="minorHAnsi" w:cstheme="minorBidi"/>
      <w:color w:val="000000" w:themeColor="text1"/>
      <w:szCs w:val="22"/>
      <w:lang w:eastAsia="en-US"/>
    </w:rPr>
  </w:style>
  <w:style w:type="paragraph" w:customStyle="1" w:styleId="slovanseznamB4">
    <w:name w:val="Číslovaný seznam B 4"/>
    <w:basedOn w:val="Normln"/>
    <w:uiPriority w:val="16"/>
    <w:qFormat/>
    <w:rsid w:val="00682587"/>
    <w:pPr>
      <w:numPr>
        <w:ilvl w:val="3"/>
        <w:numId w:val="9"/>
      </w:numPr>
      <w:overflowPunct/>
      <w:autoSpaceDE/>
      <w:autoSpaceDN/>
      <w:adjustRightInd/>
      <w:spacing w:after="0" w:line="293" w:lineRule="auto"/>
      <w:textAlignment w:val="auto"/>
    </w:pPr>
    <w:rPr>
      <w:rFonts w:eastAsiaTheme="minorHAnsi" w:cstheme="minorBidi"/>
      <w:color w:val="000000" w:themeColor="text1"/>
      <w:szCs w:val="22"/>
      <w:lang w:eastAsia="en-US"/>
    </w:rPr>
  </w:style>
  <w:style w:type="paragraph" w:customStyle="1" w:styleId="slovanseznamB5">
    <w:name w:val="Číslovaný seznam B 5"/>
    <w:basedOn w:val="Normln"/>
    <w:uiPriority w:val="16"/>
    <w:qFormat/>
    <w:rsid w:val="00682587"/>
    <w:pPr>
      <w:numPr>
        <w:ilvl w:val="4"/>
        <w:numId w:val="9"/>
      </w:numPr>
      <w:overflowPunct/>
      <w:autoSpaceDE/>
      <w:autoSpaceDN/>
      <w:adjustRightInd/>
      <w:spacing w:after="0" w:line="293" w:lineRule="auto"/>
      <w:textAlignment w:val="auto"/>
    </w:pPr>
    <w:rPr>
      <w:rFonts w:eastAsiaTheme="minorHAnsi" w:cstheme="minorBidi"/>
      <w:color w:val="000000" w:themeColor="text1"/>
      <w:szCs w:val="22"/>
      <w:lang w:eastAsia="en-US"/>
    </w:rPr>
  </w:style>
  <w:style w:type="paragraph" w:styleId="Seznamsodrkami3">
    <w:name w:val="List Bullet 3"/>
    <w:aliases w:val="Seznam s odrážkami A 3"/>
    <w:basedOn w:val="Normln"/>
    <w:uiPriority w:val="10"/>
    <w:qFormat/>
    <w:rsid w:val="00682587"/>
    <w:pPr>
      <w:numPr>
        <w:ilvl w:val="2"/>
        <w:numId w:val="10"/>
      </w:numPr>
      <w:overflowPunct/>
      <w:autoSpaceDE/>
      <w:autoSpaceDN/>
      <w:adjustRightInd/>
      <w:spacing w:after="0" w:line="293" w:lineRule="auto"/>
      <w:contextualSpacing/>
      <w:textAlignment w:val="auto"/>
    </w:pPr>
    <w:rPr>
      <w:rFonts w:eastAsiaTheme="minorHAnsi" w:cstheme="minorBidi"/>
      <w:color w:val="000000" w:themeColor="text1"/>
      <w:szCs w:val="22"/>
      <w:lang w:eastAsia="en-US"/>
    </w:rPr>
  </w:style>
  <w:style w:type="paragraph" w:styleId="Seznamsodrkami4">
    <w:name w:val="List Bullet 4"/>
    <w:aliases w:val="Seznam s odrážkami A 4"/>
    <w:basedOn w:val="Normln"/>
    <w:uiPriority w:val="10"/>
    <w:qFormat/>
    <w:rsid w:val="00682587"/>
    <w:pPr>
      <w:numPr>
        <w:ilvl w:val="3"/>
        <w:numId w:val="10"/>
      </w:numPr>
      <w:overflowPunct/>
      <w:autoSpaceDE/>
      <w:autoSpaceDN/>
      <w:adjustRightInd/>
      <w:spacing w:after="0" w:line="293" w:lineRule="auto"/>
      <w:contextualSpacing/>
      <w:textAlignment w:val="auto"/>
    </w:pPr>
    <w:rPr>
      <w:rFonts w:eastAsiaTheme="minorHAnsi" w:cstheme="minorBidi"/>
      <w:color w:val="000000" w:themeColor="text1"/>
      <w:szCs w:val="22"/>
      <w:lang w:eastAsia="en-US"/>
    </w:rPr>
  </w:style>
  <w:style w:type="paragraph" w:styleId="Seznamsodrkami5">
    <w:name w:val="List Bullet 5"/>
    <w:aliases w:val="Seznam s odrážkami A 5"/>
    <w:basedOn w:val="Normln"/>
    <w:uiPriority w:val="10"/>
    <w:qFormat/>
    <w:rsid w:val="00682587"/>
    <w:pPr>
      <w:numPr>
        <w:ilvl w:val="4"/>
        <w:numId w:val="10"/>
      </w:numPr>
      <w:overflowPunct/>
      <w:autoSpaceDE/>
      <w:autoSpaceDN/>
      <w:adjustRightInd/>
      <w:spacing w:after="0" w:line="293" w:lineRule="auto"/>
      <w:textAlignment w:val="auto"/>
    </w:pPr>
    <w:rPr>
      <w:rFonts w:eastAsiaTheme="minorHAnsi" w:cstheme="minorBidi"/>
      <w:color w:val="000000" w:themeColor="text1"/>
      <w:szCs w:val="22"/>
      <w:lang w:eastAsia="en-US"/>
    </w:rPr>
  </w:style>
  <w:style w:type="paragraph" w:styleId="Seznamsodrkami">
    <w:name w:val="List Bullet"/>
    <w:aliases w:val="Seznam s odrážkami A"/>
    <w:basedOn w:val="Normln"/>
    <w:uiPriority w:val="10"/>
    <w:qFormat/>
    <w:rsid w:val="00682587"/>
    <w:pPr>
      <w:numPr>
        <w:numId w:val="10"/>
      </w:numPr>
      <w:overflowPunct/>
      <w:autoSpaceDE/>
      <w:autoSpaceDN/>
      <w:adjustRightInd/>
      <w:spacing w:after="0" w:line="293" w:lineRule="auto"/>
      <w:contextualSpacing/>
      <w:textAlignment w:val="auto"/>
    </w:pPr>
    <w:rPr>
      <w:rFonts w:eastAsiaTheme="minorHAnsi" w:cstheme="minorBidi"/>
      <w:color w:val="000000" w:themeColor="text1"/>
      <w:szCs w:val="22"/>
      <w:lang w:eastAsia="en-US"/>
    </w:rPr>
  </w:style>
  <w:style w:type="paragraph" w:styleId="Seznamsodrkami2">
    <w:name w:val="List Bullet 2"/>
    <w:aliases w:val="Seznam s odrážkami A 2"/>
    <w:basedOn w:val="Normln"/>
    <w:uiPriority w:val="10"/>
    <w:qFormat/>
    <w:rsid w:val="00682587"/>
    <w:pPr>
      <w:numPr>
        <w:ilvl w:val="1"/>
        <w:numId w:val="10"/>
      </w:numPr>
      <w:overflowPunct/>
      <w:autoSpaceDE/>
      <w:autoSpaceDN/>
      <w:adjustRightInd/>
      <w:spacing w:after="0" w:line="293" w:lineRule="auto"/>
      <w:contextualSpacing/>
      <w:textAlignment w:val="auto"/>
    </w:pPr>
    <w:rPr>
      <w:rFonts w:eastAsiaTheme="minorHAnsi" w:cstheme="minorBidi"/>
      <w:color w:val="000000" w:themeColor="text1"/>
      <w:szCs w:val="22"/>
      <w:lang w:eastAsia="en-US"/>
    </w:rPr>
  </w:style>
  <w:style w:type="paragraph" w:customStyle="1" w:styleId="Nadpis1-mimoobsah">
    <w:name w:val="Nadpis 1 - mimo obsah"/>
    <w:basedOn w:val="Normln"/>
    <w:next w:val="Normln"/>
    <w:uiPriority w:val="8"/>
    <w:qFormat/>
    <w:rsid w:val="00682587"/>
    <w:pPr>
      <w:keepNext/>
      <w:keepLines/>
      <w:overflowPunct/>
      <w:autoSpaceDE/>
      <w:autoSpaceDN/>
      <w:adjustRightInd/>
      <w:spacing w:before="160" w:after="0" w:line="293" w:lineRule="auto"/>
      <w:textAlignment w:val="auto"/>
    </w:pPr>
    <w:rPr>
      <w:rFonts w:asciiTheme="majorHAnsi" w:eastAsiaTheme="minorHAnsi" w:hAnsiTheme="majorHAnsi" w:cstheme="minorBidi"/>
      <w:b/>
      <w:color w:val="000000" w:themeColor="text1"/>
      <w:sz w:val="28"/>
      <w:szCs w:val="22"/>
      <w:lang w:eastAsia="en-US"/>
    </w:rPr>
  </w:style>
  <w:style w:type="paragraph" w:customStyle="1" w:styleId="Nadpis2-mimoobsah">
    <w:name w:val="Nadpis 2 - mimo obsah"/>
    <w:basedOn w:val="Normln"/>
    <w:next w:val="Normln"/>
    <w:uiPriority w:val="8"/>
    <w:qFormat/>
    <w:rsid w:val="00682587"/>
    <w:pPr>
      <w:keepNext/>
      <w:keepLines/>
      <w:overflowPunct/>
      <w:autoSpaceDE/>
      <w:autoSpaceDN/>
      <w:adjustRightInd/>
      <w:spacing w:before="80" w:after="0" w:line="293" w:lineRule="auto"/>
      <w:textAlignment w:val="auto"/>
    </w:pPr>
    <w:rPr>
      <w:rFonts w:asciiTheme="majorHAnsi" w:eastAsiaTheme="minorHAnsi" w:hAnsiTheme="majorHAnsi" w:cstheme="minorBidi"/>
      <w:b/>
      <w:color w:val="000000" w:themeColor="text1"/>
      <w:sz w:val="26"/>
      <w:szCs w:val="22"/>
      <w:lang w:eastAsia="en-US"/>
    </w:rPr>
  </w:style>
  <w:style w:type="paragraph" w:customStyle="1" w:styleId="Nadpis3-mimoobsah">
    <w:name w:val="Nadpis 3 - mimo obsah"/>
    <w:basedOn w:val="Normln"/>
    <w:next w:val="Normln"/>
    <w:uiPriority w:val="8"/>
    <w:qFormat/>
    <w:rsid w:val="00682587"/>
    <w:pPr>
      <w:keepNext/>
      <w:keepLines/>
      <w:overflowPunct/>
      <w:autoSpaceDE/>
      <w:autoSpaceDN/>
      <w:adjustRightInd/>
      <w:spacing w:before="40" w:after="0" w:line="293" w:lineRule="auto"/>
      <w:textAlignment w:val="auto"/>
    </w:pPr>
    <w:rPr>
      <w:rFonts w:asciiTheme="majorHAnsi" w:eastAsiaTheme="minorHAnsi" w:hAnsiTheme="majorHAnsi" w:cstheme="minorBidi"/>
      <w:b/>
      <w:color w:val="000000" w:themeColor="text1"/>
      <w:sz w:val="24"/>
      <w:szCs w:val="22"/>
      <w:lang w:eastAsia="en-US"/>
    </w:rPr>
  </w:style>
  <w:style w:type="paragraph" w:customStyle="1" w:styleId="Nadpis4-mimoobsah">
    <w:name w:val="Nadpis 4 - mimo obsah"/>
    <w:basedOn w:val="Normln"/>
    <w:next w:val="Normln"/>
    <w:uiPriority w:val="8"/>
    <w:qFormat/>
    <w:rsid w:val="00682587"/>
    <w:pPr>
      <w:keepNext/>
      <w:keepLines/>
      <w:overflowPunct/>
      <w:autoSpaceDE/>
      <w:autoSpaceDN/>
      <w:adjustRightInd/>
      <w:spacing w:before="40" w:after="0" w:line="293" w:lineRule="auto"/>
      <w:textAlignment w:val="auto"/>
    </w:pPr>
    <w:rPr>
      <w:rFonts w:asciiTheme="majorHAnsi" w:eastAsiaTheme="minorHAnsi" w:hAnsiTheme="majorHAnsi" w:cstheme="minorBidi"/>
      <w:i/>
      <w:color w:val="000000" w:themeColor="text1"/>
      <w:sz w:val="24"/>
      <w:szCs w:val="22"/>
      <w:lang w:eastAsia="en-US"/>
    </w:rPr>
  </w:style>
  <w:style w:type="paragraph" w:customStyle="1" w:styleId="Nadpis5-mimoobsah">
    <w:name w:val="Nadpis 5 - mimo obsah"/>
    <w:basedOn w:val="Normln"/>
    <w:next w:val="Normln"/>
    <w:uiPriority w:val="8"/>
    <w:qFormat/>
    <w:rsid w:val="00682587"/>
    <w:pPr>
      <w:keepNext/>
      <w:keepLines/>
      <w:overflowPunct/>
      <w:autoSpaceDE/>
      <w:autoSpaceDN/>
      <w:adjustRightInd/>
      <w:spacing w:before="40" w:after="0" w:line="293" w:lineRule="auto"/>
      <w:textAlignment w:val="auto"/>
    </w:pPr>
    <w:rPr>
      <w:rFonts w:asciiTheme="majorHAnsi" w:eastAsiaTheme="minorHAnsi" w:hAnsiTheme="majorHAnsi" w:cstheme="minorBidi"/>
      <w:b/>
      <w:color w:val="000000" w:themeColor="text1"/>
      <w:szCs w:val="22"/>
      <w:lang w:eastAsia="en-US"/>
    </w:rPr>
  </w:style>
  <w:style w:type="paragraph" w:customStyle="1" w:styleId="Nadpis7mimoobsah">
    <w:name w:val="Nadpis 7 mimo obsah"/>
    <w:basedOn w:val="Normln"/>
    <w:next w:val="Normln"/>
    <w:uiPriority w:val="8"/>
    <w:qFormat/>
    <w:rsid w:val="00682587"/>
    <w:pPr>
      <w:keepNext/>
      <w:keepLines/>
      <w:overflowPunct/>
      <w:autoSpaceDE/>
      <w:autoSpaceDN/>
      <w:adjustRightInd/>
      <w:spacing w:before="40" w:after="0" w:line="293" w:lineRule="auto"/>
      <w:textAlignment w:val="auto"/>
    </w:pPr>
    <w:rPr>
      <w:rFonts w:asciiTheme="majorHAnsi" w:eastAsiaTheme="minorHAnsi" w:hAnsiTheme="majorHAnsi" w:cstheme="minorBidi"/>
      <w:color w:val="000000" w:themeColor="text1"/>
      <w:szCs w:val="22"/>
      <w:lang w:eastAsia="en-US"/>
    </w:rPr>
  </w:style>
  <w:style w:type="paragraph" w:customStyle="1" w:styleId="Nadpis6mimoobsah">
    <w:name w:val="Nadpis 6 mimo obsah"/>
    <w:basedOn w:val="Normln"/>
    <w:next w:val="Normln"/>
    <w:uiPriority w:val="8"/>
    <w:qFormat/>
    <w:rsid w:val="00682587"/>
    <w:pPr>
      <w:keepNext/>
      <w:keepLines/>
      <w:overflowPunct/>
      <w:autoSpaceDE/>
      <w:autoSpaceDN/>
      <w:adjustRightInd/>
      <w:spacing w:before="40" w:after="0" w:line="293" w:lineRule="auto"/>
      <w:textAlignment w:val="auto"/>
    </w:pPr>
    <w:rPr>
      <w:rFonts w:asciiTheme="majorHAnsi" w:eastAsiaTheme="minorHAnsi" w:hAnsiTheme="majorHAnsi" w:cstheme="minorBidi"/>
      <w:i/>
      <w:color w:val="000000" w:themeColor="text1"/>
      <w:szCs w:val="22"/>
      <w:lang w:eastAsia="en-US"/>
    </w:rPr>
  </w:style>
  <w:style w:type="paragraph" w:customStyle="1" w:styleId="Nadpis8mimoobsah">
    <w:name w:val="Nadpis 8 mimo obsah"/>
    <w:basedOn w:val="Normln"/>
    <w:next w:val="Normln"/>
    <w:uiPriority w:val="8"/>
    <w:qFormat/>
    <w:rsid w:val="00682587"/>
    <w:pPr>
      <w:keepNext/>
      <w:keepLines/>
      <w:overflowPunct/>
      <w:autoSpaceDE/>
      <w:autoSpaceDN/>
      <w:adjustRightInd/>
      <w:spacing w:before="40" w:after="0" w:line="293" w:lineRule="auto"/>
      <w:textAlignment w:val="auto"/>
    </w:pPr>
    <w:rPr>
      <w:rFonts w:asciiTheme="majorHAnsi" w:eastAsiaTheme="minorHAnsi" w:hAnsiTheme="majorHAnsi" w:cstheme="minorBidi"/>
      <w:b/>
      <w:color w:val="000000" w:themeColor="text1"/>
      <w:sz w:val="21"/>
      <w:szCs w:val="21"/>
      <w:lang w:eastAsia="en-US"/>
    </w:rPr>
  </w:style>
  <w:style w:type="paragraph" w:customStyle="1" w:styleId="Nadpis9mimoobsah">
    <w:name w:val="Nadpis 9 mimo obsah"/>
    <w:basedOn w:val="Normln"/>
    <w:next w:val="Normln"/>
    <w:uiPriority w:val="8"/>
    <w:qFormat/>
    <w:rsid w:val="00682587"/>
    <w:pPr>
      <w:keepNext/>
      <w:keepLines/>
      <w:overflowPunct/>
      <w:autoSpaceDE/>
      <w:autoSpaceDN/>
      <w:adjustRightInd/>
      <w:spacing w:before="40" w:after="0" w:line="293" w:lineRule="auto"/>
      <w:textAlignment w:val="auto"/>
    </w:pPr>
    <w:rPr>
      <w:rFonts w:asciiTheme="majorHAnsi" w:eastAsiaTheme="minorHAnsi" w:hAnsiTheme="majorHAnsi" w:cstheme="minorBidi"/>
      <w:i/>
      <w:color w:val="000000" w:themeColor="text1"/>
      <w:sz w:val="21"/>
      <w:szCs w:val="21"/>
      <w:lang w:eastAsia="en-US"/>
    </w:rPr>
  </w:style>
  <w:style w:type="paragraph" w:styleId="Podtitul">
    <w:name w:val="Subtitle"/>
    <w:basedOn w:val="Normln"/>
    <w:next w:val="Normln"/>
    <w:link w:val="PodtitulChar"/>
    <w:uiPriority w:val="5"/>
    <w:qFormat/>
    <w:rsid w:val="00682587"/>
    <w:pPr>
      <w:numPr>
        <w:ilvl w:val="1"/>
      </w:numPr>
      <w:overflowPunct/>
      <w:autoSpaceDE/>
      <w:autoSpaceDN/>
      <w:adjustRightInd/>
      <w:spacing w:line="293" w:lineRule="auto"/>
      <w:textAlignment w:val="auto"/>
    </w:pPr>
    <w:rPr>
      <w:rFonts w:eastAsiaTheme="minorEastAsia" w:cstheme="minorBidi"/>
      <w:color w:val="595959" w:themeColor="text1" w:themeTint="A6"/>
      <w:spacing w:val="15"/>
      <w:sz w:val="28"/>
      <w:szCs w:val="22"/>
      <w:lang w:eastAsia="en-US"/>
    </w:rPr>
  </w:style>
  <w:style w:type="character" w:customStyle="1" w:styleId="PodtitulChar">
    <w:name w:val="Podtitul Char"/>
    <w:basedOn w:val="Standardnpsmoodstavce"/>
    <w:link w:val="Podtitul"/>
    <w:uiPriority w:val="5"/>
    <w:rsid w:val="00682587"/>
    <w:rPr>
      <w:rFonts w:asciiTheme="minorHAnsi" w:eastAsiaTheme="minorEastAsia" w:hAnsiTheme="minorHAnsi" w:cstheme="minorBidi"/>
      <w:color w:val="595959" w:themeColor="text1" w:themeTint="A6"/>
      <w:spacing w:val="15"/>
      <w:sz w:val="28"/>
      <w:szCs w:val="22"/>
      <w:lang w:eastAsia="en-US"/>
    </w:rPr>
  </w:style>
  <w:style w:type="paragraph" w:styleId="Obsah1">
    <w:name w:val="toc 1"/>
    <w:basedOn w:val="Normln"/>
    <w:next w:val="Normln"/>
    <w:autoRedefine/>
    <w:uiPriority w:val="39"/>
    <w:unhideWhenUsed/>
    <w:rsid w:val="00E32A4B"/>
    <w:pPr>
      <w:tabs>
        <w:tab w:val="left" w:pos="426"/>
        <w:tab w:val="right" w:leader="dot" w:pos="9062"/>
      </w:tabs>
      <w:overflowPunct/>
      <w:autoSpaceDE/>
      <w:autoSpaceDN/>
      <w:adjustRightInd/>
      <w:spacing w:after="100" w:line="293" w:lineRule="auto"/>
      <w:ind w:left="426" w:hanging="426"/>
      <w:textAlignment w:val="auto"/>
    </w:pPr>
    <w:rPr>
      <w:rFonts w:eastAsiaTheme="minorHAnsi" w:cstheme="minorBidi"/>
      <w:color w:val="000000" w:themeColor="text1"/>
      <w:szCs w:val="22"/>
      <w:lang w:eastAsia="en-US"/>
    </w:rPr>
  </w:style>
  <w:style w:type="paragraph" w:styleId="Obsah2">
    <w:name w:val="toc 2"/>
    <w:basedOn w:val="Normln"/>
    <w:next w:val="Normln"/>
    <w:autoRedefine/>
    <w:uiPriority w:val="39"/>
    <w:unhideWhenUsed/>
    <w:rsid w:val="00682587"/>
    <w:pPr>
      <w:overflowPunct/>
      <w:autoSpaceDE/>
      <w:autoSpaceDN/>
      <w:adjustRightInd/>
      <w:spacing w:after="100" w:line="293" w:lineRule="auto"/>
      <w:ind w:left="220"/>
      <w:textAlignment w:val="auto"/>
    </w:pPr>
    <w:rPr>
      <w:rFonts w:eastAsiaTheme="minorHAnsi" w:cstheme="minorBidi"/>
      <w:color w:val="000000" w:themeColor="text1"/>
      <w:szCs w:val="22"/>
      <w:lang w:eastAsia="en-US"/>
    </w:rPr>
  </w:style>
  <w:style w:type="paragraph" w:styleId="Obsah3">
    <w:name w:val="toc 3"/>
    <w:basedOn w:val="Normln"/>
    <w:next w:val="Normln"/>
    <w:autoRedefine/>
    <w:uiPriority w:val="39"/>
    <w:unhideWhenUsed/>
    <w:rsid w:val="00682587"/>
    <w:pPr>
      <w:overflowPunct/>
      <w:autoSpaceDE/>
      <w:autoSpaceDN/>
      <w:adjustRightInd/>
      <w:spacing w:after="100" w:line="293" w:lineRule="auto"/>
      <w:ind w:left="440"/>
      <w:textAlignment w:val="auto"/>
    </w:pPr>
    <w:rPr>
      <w:rFonts w:eastAsiaTheme="minorHAnsi" w:cstheme="minorBidi"/>
      <w:color w:val="000000" w:themeColor="text1"/>
      <w:szCs w:val="22"/>
      <w:lang w:eastAsia="en-US"/>
    </w:rPr>
  </w:style>
  <w:style w:type="paragraph" w:styleId="Obsah4">
    <w:name w:val="toc 4"/>
    <w:basedOn w:val="Normln"/>
    <w:next w:val="Normln"/>
    <w:autoRedefine/>
    <w:uiPriority w:val="39"/>
    <w:unhideWhenUsed/>
    <w:rsid w:val="00682587"/>
    <w:pPr>
      <w:overflowPunct/>
      <w:autoSpaceDE/>
      <w:autoSpaceDN/>
      <w:adjustRightInd/>
      <w:spacing w:after="100" w:line="293" w:lineRule="auto"/>
      <w:ind w:left="660"/>
      <w:textAlignment w:val="auto"/>
    </w:pPr>
    <w:rPr>
      <w:rFonts w:eastAsiaTheme="minorHAnsi" w:cstheme="minorBidi"/>
      <w:color w:val="000000" w:themeColor="text1"/>
      <w:szCs w:val="22"/>
      <w:lang w:eastAsia="en-US"/>
    </w:rPr>
  </w:style>
  <w:style w:type="paragraph" w:styleId="Obsah5">
    <w:name w:val="toc 5"/>
    <w:basedOn w:val="Normln"/>
    <w:next w:val="Normln"/>
    <w:autoRedefine/>
    <w:uiPriority w:val="39"/>
    <w:unhideWhenUsed/>
    <w:rsid w:val="00682587"/>
    <w:pPr>
      <w:overflowPunct/>
      <w:autoSpaceDE/>
      <w:autoSpaceDN/>
      <w:adjustRightInd/>
      <w:spacing w:after="100" w:line="293" w:lineRule="auto"/>
      <w:ind w:left="880"/>
      <w:textAlignment w:val="auto"/>
    </w:pPr>
    <w:rPr>
      <w:rFonts w:eastAsiaTheme="minorHAnsi" w:cstheme="minorBidi"/>
      <w:color w:val="000000" w:themeColor="text1"/>
      <w:szCs w:val="22"/>
      <w:lang w:eastAsia="en-US"/>
    </w:rPr>
  </w:style>
  <w:style w:type="paragraph" w:styleId="Obsah6">
    <w:name w:val="toc 6"/>
    <w:basedOn w:val="Normln"/>
    <w:next w:val="Normln"/>
    <w:autoRedefine/>
    <w:uiPriority w:val="39"/>
    <w:unhideWhenUsed/>
    <w:rsid w:val="00682587"/>
    <w:pPr>
      <w:overflowPunct/>
      <w:autoSpaceDE/>
      <w:autoSpaceDN/>
      <w:adjustRightInd/>
      <w:spacing w:after="100" w:line="293" w:lineRule="auto"/>
      <w:ind w:left="1100"/>
      <w:textAlignment w:val="auto"/>
    </w:pPr>
    <w:rPr>
      <w:rFonts w:eastAsiaTheme="minorHAnsi" w:cstheme="minorBidi"/>
      <w:color w:val="000000" w:themeColor="text1"/>
      <w:szCs w:val="22"/>
      <w:lang w:eastAsia="en-US"/>
    </w:rPr>
  </w:style>
  <w:style w:type="paragraph" w:styleId="Obsah7">
    <w:name w:val="toc 7"/>
    <w:basedOn w:val="Normln"/>
    <w:next w:val="Normln"/>
    <w:autoRedefine/>
    <w:uiPriority w:val="39"/>
    <w:unhideWhenUsed/>
    <w:rsid w:val="00682587"/>
    <w:pPr>
      <w:overflowPunct/>
      <w:autoSpaceDE/>
      <w:autoSpaceDN/>
      <w:adjustRightInd/>
      <w:spacing w:after="100" w:line="293" w:lineRule="auto"/>
      <w:ind w:left="1320"/>
      <w:textAlignment w:val="auto"/>
    </w:pPr>
    <w:rPr>
      <w:rFonts w:eastAsiaTheme="minorHAnsi" w:cstheme="minorBidi"/>
      <w:color w:val="000000" w:themeColor="text1"/>
      <w:szCs w:val="22"/>
      <w:lang w:eastAsia="en-US"/>
    </w:rPr>
  </w:style>
  <w:style w:type="paragraph" w:styleId="Obsah8">
    <w:name w:val="toc 8"/>
    <w:basedOn w:val="Normln"/>
    <w:next w:val="Normln"/>
    <w:autoRedefine/>
    <w:uiPriority w:val="39"/>
    <w:unhideWhenUsed/>
    <w:rsid w:val="00682587"/>
    <w:pPr>
      <w:overflowPunct/>
      <w:autoSpaceDE/>
      <w:autoSpaceDN/>
      <w:adjustRightInd/>
      <w:spacing w:after="100" w:line="293" w:lineRule="auto"/>
      <w:ind w:left="1540"/>
      <w:textAlignment w:val="auto"/>
    </w:pPr>
    <w:rPr>
      <w:rFonts w:eastAsiaTheme="minorHAnsi" w:cstheme="minorBidi"/>
      <w:color w:val="000000" w:themeColor="text1"/>
      <w:szCs w:val="22"/>
      <w:lang w:eastAsia="en-US"/>
    </w:rPr>
  </w:style>
  <w:style w:type="paragraph" w:styleId="Obsah9">
    <w:name w:val="toc 9"/>
    <w:basedOn w:val="Normln"/>
    <w:next w:val="Normln"/>
    <w:autoRedefine/>
    <w:uiPriority w:val="39"/>
    <w:unhideWhenUsed/>
    <w:rsid w:val="00682587"/>
    <w:pPr>
      <w:overflowPunct/>
      <w:autoSpaceDE/>
      <w:autoSpaceDN/>
      <w:adjustRightInd/>
      <w:spacing w:after="100" w:line="293" w:lineRule="auto"/>
      <w:ind w:left="1760"/>
      <w:textAlignment w:val="auto"/>
    </w:pPr>
    <w:rPr>
      <w:rFonts w:eastAsiaTheme="minorHAnsi" w:cstheme="minorBidi"/>
      <w:color w:val="000000" w:themeColor="text1"/>
      <w:szCs w:val="22"/>
      <w:lang w:eastAsia="en-US"/>
    </w:rPr>
  </w:style>
  <w:style w:type="character" w:styleId="Zdraznnjemn">
    <w:name w:val="Subtle Emphasis"/>
    <w:basedOn w:val="Standardnpsmoodstavce"/>
    <w:uiPriority w:val="19"/>
    <w:qFormat/>
    <w:rsid w:val="00682587"/>
    <w:rPr>
      <w:i/>
      <w:iCs/>
      <w:color w:val="595959" w:themeColor="text1" w:themeTint="A6"/>
    </w:rPr>
  </w:style>
  <w:style w:type="character" w:styleId="Odkazjemn">
    <w:name w:val="Subtle Reference"/>
    <w:basedOn w:val="Standardnpsmoodstavce"/>
    <w:uiPriority w:val="23"/>
    <w:qFormat/>
    <w:rsid w:val="00682587"/>
    <w:rPr>
      <w:smallCaps/>
      <w:color w:val="5A5A5A" w:themeColor="text1" w:themeTint="A5"/>
    </w:rPr>
  </w:style>
  <w:style w:type="paragraph" w:styleId="Citt">
    <w:name w:val="Quote"/>
    <w:basedOn w:val="Normln"/>
    <w:next w:val="Normln"/>
    <w:link w:val="CittChar"/>
    <w:uiPriority w:val="27"/>
    <w:qFormat/>
    <w:rsid w:val="00682587"/>
    <w:pPr>
      <w:keepLines/>
      <w:overflowPunct/>
      <w:autoSpaceDE/>
      <w:autoSpaceDN/>
      <w:adjustRightInd/>
      <w:spacing w:before="240" w:line="293" w:lineRule="auto"/>
      <w:ind w:left="357" w:right="357"/>
      <w:textAlignment w:val="auto"/>
    </w:pPr>
    <w:rPr>
      <w:rFonts w:eastAsiaTheme="minorHAnsi" w:cstheme="minorBidi"/>
      <w:i/>
      <w:iCs/>
      <w:color w:val="595959" w:themeColor="text1" w:themeTint="A6"/>
      <w:szCs w:val="22"/>
      <w:lang w:eastAsia="en-US"/>
    </w:rPr>
  </w:style>
  <w:style w:type="character" w:customStyle="1" w:styleId="CittChar">
    <w:name w:val="Citát Char"/>
    <w:basedOn w:val="Standardnpsmoodstavce"/>
    <w:link w:val="Citt"/>
    <w:uiPriority w:val="27"/>
    <w:rsid w:val="00682587"/>
    <w:rPr>
      <w:rFonts w:asciiTheme="minorHAnsi" w:eastAsiaTheme="minorHAnsi" w:hAnsiTheme="minorHAnsi" w:cstheme="minorBidi"/>
      <w:i/>
      <w:iCs/>
      <w:color w:val="595959" w:themeColor="text1" w:themeTint="A6"/>
      <w:sz w:val="22"/>
      <w:szCs w:val="22"/>
      <w:lang w:eastAsia="en-US"/>
    </w:rPr>
  </w:style>
  <w:style w:type="character" w:styleId="Zvraznn">
    <w:name w:val="Emphasis"/>
    <w:basedOn w:val="Standardnpsmoodstavce"/>
    <w:uiPriority w:val="20"/>
    <w:qFormat/>
    <w:rsid w:val="00682587"/>
    <w:rPr>
      <w:i/>
      <w:iCs/>
    </w:rPr>
  </w:style>
  <w:style w:type="paragraph" w:styleId="Nadpisobsahu">
    <w:name w:val="TOC Heading"/>
    <w:basedOn w:val="Nadpis1-mimoobsah"/>
    <w:next w:val="Normln"/>
    <w:uiPriority w:val="39"/>
    <w:unhideWhenUsed/>
    <w:qFormat/>
    <w:rsid w:val="00682587"/>
  </w:style>
  <w:style w:type="paragraph" w:styleId="Datum">
    <w:name w:val="Date"/>
    <w:basedOn w:val="Normln"/>
    <w:next w:val="Normln"/>
    <w:link w:val="DatumChar"/>
    <w:uiPriority w:val="31"/>
    <w:unhideWhenUsed/>
    <w:rsid w:val="00682587"/>
    <w:pPr>
      <w:overflowPunct/>
      <w:autoSpaceDE/>
      <w:autoSpaceDN/>
      <w:adjustRightInd/>
      <w:spacing w:line="293" w:lineRule="auto"/>
      <w:textAlignment w:val="auto"/>
    </w:pPr>
    <w:rPr>
      <w:rFonts w:eastAsiaTheme="minorHAnsi" w:cstheme="minorBidi"/>
      <w:color w:val="000000" w:themeColor="text1"/>
      <w:szCs w:val="22"/>
      <w:lang w:eastAsia="en-US"/>
    </w:rPr>
  </w:style>
  <w:style w:type="character" w:customStyle="1" w:styleId="DatumChar">
    <w:name w:val="Datum Char"/>
    <w:basedOn w:val="Standardnpsmoodstavce"/>
    <w:link w:val="Datum"/>
    <w:uiPriority w:val="31"/>
    <w:rsid w:val="00682587"/>
    <w:rPr>
      <w:rFonts w:asciiTheme="minorHAnsi" w:eastAsiaTheme="minorHAnsi" w:hAnsiTheme="minorHAnsi" w:cstheme="minorBidi"/>
      <w:color w:val="000000" w:themeColor="text1"/>
      <w:sz w:val="22"/>
      <w:szCs w:val="22"/>
      <w:lang w:eastAsia="en-US"/>
    </w:rPr>
  </w:style>
  <w:style w:type="paragraph" w:styleId="Textvbloku">
    <w:name w:val="Block Text"/>
    <w:basedOn w:val="Normln"/>
    <w:uiPriority w:val="29"/>
    <w:unhideWhenUsed/>
    <w:rsid w:val="00682587"/>
    <w:pPr>
      <w:pBdr>
        <w:top w:val="single" w:sz="2" w:space="10" w:color="000000" w:themeColor="text1"/>
        <w:left w:val="single" w:sz="2" w:space="10" w:color="000000" w:themeColor="text1"/>
        <w:bottom w:val="single" w:sz="2" w:space="10" w:color="000000" w:themeColor="text1"/>
        <w:right w:val="single" w:sz="2" w:space="10" w:color="000000" w:themeColor="text1"/>
      </w:pBdr>
      <w:overflowPunct/>
      <w:autoSpaceDE/>
      <w:autoSpaceDN/>
      <w:adjustRightInd/>
      <w:spacing w:line="293" w:lineRule="auto"/>
      <w:ind w:left="357" w:right="357"/>
      <w:textAlignment w:val="auto"/>
    </w:pPr>
    <w:rPr>
      <w:rFonts w:eastAsiaTheme="minorEastAsia" w:cstheme="minorBidi"/>
      <w:i/>
      <w:iCs/>
      <w:color w:val="000000" w:themeColor="text1"/>
      <w:szCs w:val="22"/>
      <w:lang w:eastAsia="en-US"/>
    </w:rPr>
  </w:style>
  <w:style w:type="paragraph" w:styleId="Zkladntext">
    <w:name w:val="Body Text"/>
    <w:basedOn w:val="Normln"/>
    <w:link w:val="ZkladntextChar"/>
    <w:uiPriority w:val="1"/>
    <w:rsid w:val="00682587"/>
    <w:pPr>
      <w:overflowPunct/>
      <w:autoSpaceDE/>
      <w:autoSpaceDN/>
      <w:adjustRightInd/>
      <w:spacing w:line="293" w:lineRule="auto"/>
      <w:textAlignment w:val="auto"/>
    </w:pPr>
    <w:rPr>
      <w:rFonts w:eastAsiaTheme="minorHAnsi" w:cstheme="minorBidi"/>
      <w:color w:val="000000" w:themeColor="text1"/>
      <w:szCs w:val="22"/>
      <w:lang w:eastAsia="en-US"/>
    </w:rPr>
  </w:style>
  <w:style w:type="character" w:customStyle="1" w:styleId="ZkladntextChar">
    <w:name w:val="Základní text Char"/>
    <w:basedOn w:val="Standardnpsmoodstavce"/>
    <w:link w:val="Zkladntext"/>
    <w:uiPriority w:val="1"/>
    <w:rsid w:val="00682587"/>
    <w:rPr>
      <w:rFonts w:asciiTheme="minorHAnsi" w:eastAsiaTheme="minorHAnsi" w:hAnsiTheme="minorHAnsi" w:cstheme="minorBidi"/>
      <w:color w:val="000000" w:themeColor="text1"/>
      <w:sz w:val="22"/>
      <w:szCs w:val="22"/>
      <w:lang w:eastAsia="en-US"/>
    </w:rPr>
  </w:style>
  <w:style w:type="paragraph" w:styleId="Zkladntext-prvnodsazen">
    <w:name w:val="Body Text First Indent"/>
    <w:basedOn w:val="Zkladntext"/>
    <w:link w:val="Zkladntext-prvnodsazenChar"/>
    <w:uiPriority w:val="1"/>
    <w:rsid w:val="00682587"/>
    <w:pPr>
      <w:ind w:firstLine="357"/>
    </w:pPr>
  </w:style>
  <w:style w:type="character" w:customStyle="1" w:styleId="Zkladntext-prvnodsazenChar">
    <w:name w:val="Základní text - první odsazený Char"/>
    <w:basedOn w:val="ZkladntextChar"/>
    <w:link w:val="Zkladntext-prvnodsazen"/>
    <w:uiPriority w:val="1"/>
    <w:rsid w:val="00682587"/>
    <w:rPr>
      <w:rFonts w:asciiTheme="minorHAnsi" w:eastAsiaTheme="minorHAnsi" w:hAnsiTheme="minorHAnsi" w:cstheme="minorBidi"/>
      <w:color w:val="000000" w:themeColor="text1"/>
      <w:sz w:val="22"/>
      <w:szCs w:val="22"/>
      <w:lang w:eastAsia="en-US"/>
    </w:rPr>
  </w:style>
  <w:style w:type="paragraph" w:styleId="Zkladntextodsazen">
    <w:name w:val="Body Text Indent"/>
    <w:basedOn w:val="Normln"/>
    <w:link w:val="ZkladntextodsazenChar"/>
    <w:uiPriority w:val="1"/>
    <w:rsid w:val="00682587"/>
    <w:pPr>
      <w:overflowPunct/>
      <w:autoSpaceDE/>
      <w:autoSpaceDN/>
      <w:adjustRightInd/>
      <w:spacing w:line="293" w:lineRule="auto"/>
      <w:ind w:left="357"/>
      <w:textAlignment w:val="auto"/>
    </w:pPr>
    <w:rPr>
      <w:rFonts w:eastAsiaTheme="minorHAnsi" w:cstheme="minorBidi"/>
      <w:color w:val="000000" w:themeColor="text1"/>
      <w:szCs w:val="22"/>
      <w:lang w:eastAsia="en-US"/>
    </w:rPr>
  </w:style>
  <w:style w:type="character" w:customStyle="1" w:styleId="ZkladntextodsazenChar">
    <w:name w:val="Základní text odsazený Char"/>
    <w:basedOn w:val="Standardnpsmoodstavce"/>
    <w:link w:val="Zkladntextodsazen"/>
    <w:uiPriority w:val="1"/>
    <w:rsid w:val="00682587"/>
    <w:rPr>
      <w:rFonts w:asciiTheme="minorHAnsi" w:eastAsiaTheme="minorHAnsi" w:hAnsiTheme="minorHAnsi" w:cstheme="minorBidi"/>
      <w:color w:val="000000" w:themeColor="text1"/>
      <w:sz w:val="22"/>
      <w:szCs w:val="22"/>
      <w:lang w:eastAsia="en-US"/>
    </w:rPr>
  </w:style>
  <w:style w:type="paragraph" w:customStyle="1" w:styleId="SeznamsodrkamiB">
    <w:name w:val="Seznam s odrážkami B"/>
    <w:basedOn w:val="Normln"/>
    <w:uiPriority w:val="11"/>
    <w:qFormat/>
    <w:rsid w:val="00682587"/>
    <w:pPr>
      <w:numPr>
        <w:numId w:val="11"/>
      </w:numPr>
      <w:overflowPunct/>
      <w:autoSpaceDE/>
      <w:autoSpaceDN/>
      <w:adjustRightInd/>
      <w:spacing w:after="0" w:line="293" w:lineRule="auto"/>
      <w:textAlignment w:val="auto"/>
    </w:pPr>
    <w:rPr>
      <w:rFonts w:eastAsiaTheme="minorHAnsi" w:cstheme="minorBidi"/>
      <w:color w:val="000000" w:themeColor="text1"/>
      <w:szCs w:val="22"/>
      <w:lang w:eastAsia="en-US"/>
    </w:rPr>
  </w:style>
  <w:style w:type="paragraph" w:customStyle="1" w:styleId="SeznamsodrkamiB2">
    <w:name w:val="Seznam s odrážkami B 2"/>
    <w:basedOn w:val="Normln"/>
    <w:uiPriority w:val="11"/>
    <w:qFormat/>
    <w:rsid w:val="00682587"/>
    <w:pPr>
      <w:numPr>
        <w:ilvl w:val="1"/>
        <w:numId w:val="11"/>
      </w:numPr>
      <w:overflowPunct/>
      <w:autoSpaceDE/>
      <w:autoSpaceDN/>
      <w:adjustRightInd/>
      <w:spacing w:after="0" w:line="293" w:lineRule="auto"/>
      <w:textAlignment w:val="auto"/>
    </w:pPr>
    <w:rPr>
      <w:rFonts w:eastAsiaTheme="minorHAnsi" w:cstheme="minorBidi"/>
      <w:color w:val="000000" w:themeColor="text1"/>
      <w:szCs w:val="22"/>
      <w:lang w:eastAsia="en-US"/>
    </w:rPr>
  </w:style>
  <w:style w:type="paragraph" w:customStyle="1" w:styleId="SeznamsodrkamiB3">
    <w:name w:val="Seznam s odrážkami B 3"/>
    <w:basedOn w:val="Normln"/>
    <w:uiPriority w:val="11"/>
    <w:qFormat/>
    <w:rsid w:val="00682587"/>
    <w:pPr>
      <w:numPr>
        <w:ilvl w:val="2"/>
        <w:numId w:val="11"/>
      </w:numPr>
      <w:overflowPunct/>
      <w:autoSpaceDE/>
      <w:autoSpaceDN/>
      <w:adjustRightInd/>
      <w:spacing w:after="0" w:line="293" w:lineRule="auto"/>
      <w:textAlignment w:val="auto"/>
    </w:pPr>
    <w:rPr>
      <w:rFonts w:eastAsiaTheme="minorHAnsi" w:cstheme="minorBidi"/>
      <w:color w:val="000000" w:themeColor="text1"/>
      <w:szCs w:val="22"/>
      <w:lang w:eastAsia="en-US"/>
    </w:rPr>
  </w:style>
  <w:style w:type="paragraph" w:customStyle="1" w:styleId="SeznamsodrkamiB4">
    <w:name w:val="Seznam s odrážkami B 4"/>
    <w:basedOn w:val="Normln"/>
    <w:uiPriority w:val="11"/>
    <w:qFormat/>
    <w:rsid w:val="00682587"/>
    <w:pPr>
      <w:numPr>
        <w:ilvl w:val="3"/>
        <w:numId w:val="11"/>
      </w:numPr>
      <w:overflowPunct/>
      <w:autoSpaceDE/>
      <w:autoSpaceDN/>
      <w:adjustRightInd/>
      <w:spacing w:after="0" w:line="293" w:lineRule="auto"/>
      <w:textAlignment w:val="auto"/>
    </w:pPr>
    <w:rPr>
      <w:rFonts w:eastAsiaTheme="minorHAnsi" w:cstheme="minorBidi"/>
      <w:color w:val="000000" w:themeColor="text1"/>
      <w:szCs w:val="22"/>
      <w:lang w:eastAsia="en-US"/>
    </w:rPr>
  </w:style>
  <w:style w:type="paragraph" w:customStyle="1" w:styleId="SeznamsodrkamiB5">
    <w:name w:val="Seznam s odrážkami B 5"/>
    <w:basedOn w:val="Normln"/>
    <w:uiPriority w:val="11"/>
    <w:qFormat/>
    <w:rsid w:val="00682587"/>
    <w:pPr>
      <w:numPr>
        <w:ilvl w:val="4"/>
        <w:numId w:val="11"/>
      </w:numPr>
      <w:overflowPunct/>
      <w:autoSpaceDE/>
      <w:autoSpaceDN/>
      <w:adjustRightInd/>
      <w:spacing w:after="0" w:line="293" w:lineRule="auto"/>
      <w:textAlignment w:val="auto"/>
    </w:pPr>
    <w:rPr>
      <w:rFonts w:eastAsiaTheme="minorHAnsi" w:cstheme="minorBidi"/>
      <w:color w:val="000000" w:themeColor="text1"/>
      <w:szCs w:val="22"/>
      <w:lang w:eastAsia="en-US"/>
    </w:rPr>
  </w:style>
  <w:style w:type="paragraph" w:styleId="Revize">
    <w:name w:val="Revision"/>
    <w:hidden/>
    <w:uiPriority w:val="99"/>
    <w:semiHidden/>
    <w:rsid w:val="00767DDD"/>
    <w:rPr>
      <w:rFonts w:asciiTheme="minorHAnsi" w:hAnsiTheme="minorHAnsi"/>
      <w:sz w:val="22"/>
    </w:rPr>
  </w:style>
  <w:style w:type="character" w:customStyle="1" w:styleId="Zkladntext2">
    <w:name w:val="Základní text (2)_"/>
    <w:basedOn w:val="Standardnpsmoodstavce"/>
    <w:link w:val="Zkladntext21"/>
    <w:uiPriority w:val="99"/>
    <w:rsid w:val="00DA3320"/>
    <w:rPr>
      <w:sz w:val="22"/>
      <w:szCs w:val="22"/>
      <w:shd w:val="clear" w:color="auto" w:fill="FFFFFF"/>
    </w:rPr>
  </w:style>
  <w:style w:type="paragraph" w:customStyle="1" w:styleId="Zkladntext21">
    <w:name w:val="Základní text (2)1"/>
    <w:basedOn w:val="Normln"/>
    <w:link w:val="Zkladntext2"/>
    <w:uiPriority w:val="99"/>
    <w:rsid w:val="00DA3320"/>
    <w:pPr>
      <w:widowControl w:val="0"/>
      <w:shd w:val="clear" w:color="auto" w:fill="FFFFFF"/>
      <w:overflowPunct/>
      <w:autoSpaceDE/>
      <w:autoSpaceDN/>
      <w:adjustRightInd/>
      <w:spacing w:after="0" w:line="270" w:lineRule="exact"/>
      <w:ind w:hanging="780"/>
      <w:jc w:val="both"/>
      <w:textAlignment w:val="auto"/>
    </w:pPr>
    <w:rPr>
      <w:rFonts w:ascii="Times New Roman" w:hAnsi="Times New Roman"/>
      <w:szCs w:val="22"/>
    </w:rPr>
  </w:style>
  <w:style w:type="character" w:customStyle="1" w:styleId="Zkladntext7">
    <w:name w:val="Základní text (7)_"/>
    <w:basedOn w:val="Standardnpsmoodstavce"/>
    <w:link w:val="Zkladntext70"/>
    <w:uiPriority w:val="99"/>
    <w:rsid w:val="00DA3320"/>
    <w:rPr>
      <w:rFonts w:ascii="Book Antiqua" w:hAnsi="Book Antiqua" w:cs="Book Antiqua"/>
      <w:i/>
      <w:iCs/>
      <w:sz w:val="22"/>
      <w:szCs w:val="22"/>
      <w:shd w:val="clear" w:color="auto" w:fill="FFFFFF"/>
    </w:rPr>
  </w:style>
  <w:style w:type="character" w:customStyle="1" w:styleId="Zkladntext212pt1">
    <w:name w:val="Základní text (2) + 12 pt1"/>
    <w:basedOn w:val="Zkladntext2"/>
    <w:uiPriority w:val="99"/>
    <w:rsid w:val="00DA3320"/>
    <w:rPr>
      <w:rFonts w:ascii="Times New Roman" w:hAnsi="Times New Roman" w:cs="Times New Roman"/>
      <w:sz w:val="24"/>
      <w:szCs w:val="24"/>
      <w:u w:val="none"/>
      <w:shd w:val="clear" w:color="auto" w:fill="FFFFFF"/>
    </w:rPr>
  </w:style>
  <w:style w:type="paragraph" w:customStyle="1" w:styleId="Zkladntext70">
    <w:name w:val="Základní text (7)"/>
    <w:basedOn w:val="Normln"/>
    <w:link w:val="Zkladntext7"/>
    <w:uiPriority w:val="99"/>
    <w:rsid w:val="00DA3320"/>
    <w:pPr>
      <w:widowControl w:val="0"/>
      <w:shd w:val="clear" w:color="auto" w:fill="FFFFFF"/>
      <w:overflowPunct/>
      <w:autoSpaceDE/>
      <w:autoSpaceDN/>
      <w:adjustRightInd/>
      <w:spacing w:after="0" w:line="240" w:lineRule="atLeast"/>
      <w:textAlignment w:val="auto"/>
    </w:pPr>
    <w:rPr>
      <w:rFonts w:ascii="Book Antiqua" w:hAnsi="Book Antiqua" w:cs="Book Antiqua"/>
      <w:i/>
      <w:iCs/>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7" w:unhideWhenUsed="0" w:qFormat="1"/>
    <w:lsdException w:name="heading 2" w:uiPriority="7" w:qFormat="1"/>
    <w:lsdException w:name="heading 3" w:uiPriority="7" w:qFormat="1"/>
    <w:lsdException w:name="heading 4" w:uiPriority="7" w:qFormat="1"/>
    <w:lsdException w:name="heading 5" w:uiPriority="7" w:qFormat="1"/>
    <w:lsdException w:name="heading 6" w:uiPriority="7"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Bullet" w:uiPriority="10" w:qFormat="1"/>
    <w:lsdException w:name="List Number" w:uiPriority="15" w:qFormat="1"/>
    <w:lsdException w:name="List Bullet 2" w:uiPriority="10" w:qFormat="1"/>
    <w:lsdException w:name="List Bullet 3" w:uiPriority="10" w:qFormat="1"/>
    <w:lsdException w:name="List Bullet 4" w:uiPriority="10" w:qFormat="1"/>
    <w:lsdException w:name="List Bullet 5" w:uiPriority="10" w:qFormat="1"/>
    <w:lsdException w:name="List Number 2" w:uiPriority="15" w:qFormat="1"/>
    <w:lsdException w:name="List Number 3" w:uiPriority="15" w:qFormat="1"/>
    <w:lsdException w:name="List Number 4" w:uiPriority="15" w:qFormat="1"/>
    <w:lsdException w:name="List Number 5" w:uiPriority="15" w:qFormat="1"/>
    <w:lsdException w:name="Title" w:semiHidden="0" w:uiPriority="4" w:unhideWhenUsed="0" w:qFormat="1"/>
    <w:lsdException w:name="Default Paragraph Font" w:uiPriority="1"/>
    <w:lsdException w:name="Body Text" w:uiPriority="1"/>
    <w:lsdException w:name="Body Text Indent" w:uiPriority="1"/>
    <w:lsdException w:name="Subtitle" w:semiHidden="0" w:uiPriority="5" w:unhideWhenUsed="0" w:qFormat="1"/>
    <w:lsdException w:name="Date" w:uiPriority="31"/>
    <w:lsdException w:name="Body Text First Indent" w:uiPriority="1"/>
    <w:lsdException w:name="Block Text" w:uiPriority="29"/>
    <w:lsdException w:name="FollowedHyperlink" w:uiPriority="34"/>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7" w:unhideWhenUsed="0" w:qFormat="1"/>
    <w:lsdException w:name="Intense Quote" w:semiHidden="0" w:uiPriority="28"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23" w:unhideWhenUsed="0" w:qFormat="1"/>
    <w:lsdException w:name="Intense Reference" w:semiHidden="0" w:uiPriority="24"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spacing w:after="160" w:line="340" w:lineRule="exact"/>
      <w:textAlignment w:val="baseline"/>
    </w:pPr>
    <w:rPr>
      <w:rFonts w:asciiTheme="minorHAnsi" w:hAnsiTheme="minorHAnsi"/>
      <w:sz w:val="22"/>
    </w:rPr>
  </w:style>
  <w:style w:type="paragraph" w:styleId="Nadpis1">
    <w:name w:val="heading 1"/>
    <w:basedOn w:val="Normln"/>
    <w:link w:val="Nadpis1Char"/>
    <w:uiPriority w:val="7"/>
    <w:qFormat/>
    <w:pPr>
      <w:overflowPunct/>
      <w:autoSpaceDE/>
      <w:autoSpaceDN/>
      <w:adjustRightInd/>
      <w:spacing w:before="240" w:after="240" w:line="240" w:lineRule="auto"/>
      <w:textAlignment w:val="auto"/>
      <w:outlineLvl w:val="0"/>
    </w:pPr>
    <w:rPr>
      <w:rFonts w:ascii="Times New Roman" w:hAnsi="Times New Roman"/>
      <w:b/>
      <w:bCs/>
      <w:kern w:val="36"/>
      <w:sz w:val="43"/>
      <w:szCs w:val="43"/>
    </w:rPr>
  </w:style>
  <w:style w:type="paragraph" w:styleId="Nadpis2">
    <w:name w:val="heading 2"/>
    <w:basedOn w:val="Normln"/>
    <w:next w:val="Normln"/>
    <w:link w:val="Nadpis2Char"/>
    <w:uiPriority w:val="7"/>
    <w:unhideWhenUsed/>
    <w:qFormat/>
    <w:rsid w:val="00682587"/>
    <w:pPr>
      <w:keepNext/>
      <w:keepLines/>
      <w:overflowPunct/>
      <w:autoSpaceDE/>
      <w:autoSpaceDN/>
      <w:adjustRightInd/>
      <w:spacing w:before="80" w:after="0" w:line="293" w:lineRule="auto"/>
      <w:textAlignment w:val="auto"/>
      <w:outlineLvl w:val="1"/>
    </w:pPr>
    <w:rPr>
      <w:rFonts w:asciiTheme="majorHAnsi" w:eastAsiaTheme="majorEastAsia" w:hAnsiTheme="majorHAnsi" w:cstheme="majorBidi"/>
      <w:b/>
      <w:color w:val="000000" w:themeColor="text1"/>
      <w:sz w:val="26"/>
      <w:szCs w:val="26"/>
      <w:lang w:eastAsia="en-US"/>
    </w:rPr>
  </w:style>
  <w:style w:type="paragraph" w:styleId="Nadpis3">
    <w:name w:val="heading 3"/>
    <w:basedOn w:val="Normln"/>
    <w:next w:val="Normln"/>
    <w:link w:val="Nadpis3Char"/>
    <w:uiPriority w:val="7"/>
    <w:unhideWhenUsed/>
    <w:qFormat/>
    <w:rsid w:val="00682587"/>
    <w:pPr>
      <w:keepNext/>
      <w:keepLines/>
      <w:overflowPunct/>
      <w:autoSpaceDE/>
      <w:autoSpaceDN/>
      <w:adjustRightInd/>
      <w:spacing w:before="40" w:after="0" w:line="293" w:lineRule="auto"/>
      <w:textAlignment w:val="auto"/>
      <w:outlineLvl w:val="2"/>
    </w:pPr>
    <w:rPr>
      <w:rFonts w:asciiTheme="majorHAnsi" w:eastAsiaTheme="majorEastAsia" w:hAnsiTheme="majorHAnsi" w:cstheme="majorBidi"/>
      <w:b/>
      <w:color w:val="000000" w:themeColor="text1"/>
      <w:sz w:val="24"/>
      <w:szCs w:val="24"/>
      <w:lang w:eastAsia="en-US"/>
    </w:rPr>
  </w:style>
  <w:style w:type="paragraph" w:styleId="Nadpis4">
    <w:name w:val="heading 4"/>
    <w:basedOn w:val="Normln"/>
    <w:next w:val="Normln"/>
    <w:link w:val="Nadpis4Char"/>
    <w:uiPriority w:val="7"/>
    <w:unhideWhenUsed/>
    <w:qFormat/>
    <w:rsid w:val="00682587"/>
    <w:pPr>
      <w:keepNext/>
      <w:keepLines/>
      <w:overflowPunct/>
      <w:autoSpaceDE/>
      <w:autoSpaceDN/>
      <w:adjustRightInd/>
      <w:spacing w:before="40" w:after="0" w:line="293" w:lineRule="auto"/>
      <w:textAlignment w:val="auto"/>
      <w:outlineLvl w:val="3"/>
    </w:pPr>
    <w:rPr>
      <w:rFonts w:asciiTheme="majorHAnsi" w:eastAsiaTheme="majorEastAsia" w:hAnsiTheme="majorHAnsi" w:cstheme="majorBidi"/>
      <w:i/>
      <w:iCs/>
      <w:color w:val="000000" w:themeColor="text1"/>
      <w:sz w:val="24"/>
      <w:szCs w:val="22"/>
      <w:lang w:eastAsia="en-US"/>
    </w:rPr>
  </w:style>
  <w:style w:type="paragraph" w:styleId="Nadpis5">
    <w:name w:val="heading 5"/>
    <w:basedOn w:val="Normln"/>
    <w:next w:val="Normln"/>
    <w:link w:val="Nadpis5Char"/>
    <w:uiPriority w:val="7"/>
    <w:unhideWhenUsed/>
    <w:qFormat/>
    <w:rsid w:val="00682587"/>
    <w:pPr>
      <w:keepNext/>
      <w:keepLines/>
      <w:overflowPunct/>
      <w:autoSpaceDE/>
      <w:autoSpaceDN/>
      <w:adjustRightInd/>
      <w:spacing w:before="40" w:after="0" w:line="293" w:lineRule="auto"/>
      <w:textAlignment w:val="auto"/>
      <w:outlineLvl w:val="4"/>
    </w:pPr>
    <w:rPr>
      <w:rFonts w:asciiTheme="majorHAnsi" w:eastAsiaTheme="majorEastAsia" w:hAnsiTheme="majorHAnsi" w:cstheme="majorBidi"/>
      <w:b/>
      <w:color w:val="000000" w:themeColor="text1"/>
      <w:szCs w:val="22"/>
      <w:lang w:eastAsia="en-US"/>
    </w:rPr>
  </w:style>
  <w:style w:type="paragraph" w:styleId="Nadpis6">
    <w:name w:val="heading 6"/>
    <w:basedOn w:val="Normln"/>
    <w:next w:val="Normln"/>
    <w:link w:val="Nadpis6Char"/>
    <w:uiPriority w:val="7"/>
    <w:unhideWhenUsed/>
    <w:qFormat/>
    <w:rsid w:val="00682587"/>
    <w:pPr>
      <w:keepNext/>
      <w:keepLines/>
      <w:overflowPunct/>
      <w:autoSpaceDE/>
      <w:autoSpaceDN/>
      <w:adjustRightInd/>
      <w:spacing w:before="40" w:after="0" w:line="293" w:lineRule="auto"/>
      <w:textAlignment w:val="auto"/>
      <w:outlineLvl w:val="5"/>
    </w:pPr>
    <w:rPr>
      <w:rFonts w:asciiTheme="majorHAnsi" w:eastAsiaTheme="majorEastAsia" w:hAnsiTheme="majorHAnsi" w:cstheme="majorBidi"/>
      <w:i/>
      <w:color w:val="000000" w:themeColor="text1"/>
      <w:szCs w:val="22"/>
      <w:lang w:eastAsia="en-US"/>
    </w:rPr>
  </w:style>
  <w:style w:type="paragraph" w:styleId="Nadpis7">
    <w:name w:val="heading 7"/>
    <w:basedOn w:val="Normln"/>
    <w:next w:val="Normln"/>
    <w:link w:val="Nadpis7Char"/>
    <w:uiPriority w:val="7"/>
    <w:unhideWhenUsed/>
    <w:qFormat/>
    <w:rsid w:val="00682587"/>
    <w:pPr>
      <w:keepNext/>
      <w:keepLines/>
      <w:overflowPunct/>
      <w:autoSpaceDE/>
      <w:autoSpaceDN/>
      <w:adjustRightInd/>
      <w:spacing w:before="40" w:after="0" w:line="293" w:lineRule="auto"/>
      <w:textAlignment w:val="auto"/>
      <w:outlineLvl w:val="6"/>
    </w:pPr>
    <w:rPr>
      <w:rFonts w:asciiTheme="majorHAnsi" w:eastAsiaTheme="majorEastAsia" w:hAnsiTheme="majorHAnsi" w:cstheme="majorBidi"/>
      <w:iCs/>
      <w:color w:val="000000" w:themeColor="text1"/>
      <w:szCs w:val="22"/>
      <w:lang w:eastAsia="en-US"/>
    </w:rPr>
  </w:style>
  <w:style w:type="paragraph" w:styleId="Nadpis8">
    <w:name w:val="heading 8"/>
    <w:basedOn w:val="Normln"/>
    <w:next w:val="Normln"/>
    <w:link w:val="Nadpis8Char"/>
    <w:uiPriority w:val="7"/>
    <w:unhideWhenUsed/>
    <w:qFormat/>
    <w:rsid w:val="00682587"/>
    <w:pPr>
      <w:keepNext/>
      <w:keepLines/>
      <w:overflowPunct/>
      <w:autoSpaceDE/>
      <w:autoSpaceDN/>
      <w:adjustRightInd/>
      <w:spacing w:before="40" w:after="0" w:line="293" w:lineRule="auto"/>
      <w:textAlignment w:val="auto"/>
      <w:outlineLvl w:val="7"/>
    </w:pPr>
    <w:rPr>
      <w:rFonts w:asciiTheme="majorHAnsi" w:eastAsiaTheme="majorEastAsia" w:hAnsiTheme="majorHAnsi" w:cstheme="majorBidi"/>
      <w:b/>
      <w:color w:val="272727" w:themeColor="text1" w:themeTint="D8"/>
      <w:szCs w:val="21"/>
      <w:lang w:eastAsia="en-US"/>
    </w:rPr>
  </w:style>
  <w:style w:type="paragraph" w:styleId="Nadpis9">
    <w:name w:val="heading 9"/>
    <w:basedOn w:val="Normln"/>
    <w:next w:val="Normln"/>
    <w:link w:val="Nadpis9Char"/>
    <w:uiPriority w:val="7"/>
    <w:unhideWhenUsed/>
    <w:qFormat/>
    <w:rsid w:val="00682587"/>
    <w:pPr>
      <w:keepNext/>
      <w:keepLines/>
      <w:overflowPunct/>
      <w:autoSpaceDE/>
      <w:autoSpaceDN/>
      <w:adjustRightInd/>
      <w:spacing w:before="40" w:after="0" w:line="293" w:lineRule="auto"/>
      <w:textAlignment w:val="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Pr>
      <w:color w:val="0000FF"/>
      <w:u w:val="single"/>
    </w:rPr>
  </w:style>
  <w:style w:type="paragraph" w:styleId="Normlnweb">
    <w:name w:val="Normal (Web)"/>
    <w:basedOn w:val="Normln"/>
    <w:uiPriority w:val="99"/>
    <w:pPr>
      <w:overflowPunct/>
      <w:autoSpaceDE/>
      <w:autoSpaceDN/>
      <w:adjustRightInd/>
      <w:spacing w:before="100" w:beforeAutospacing="1" w:after="100" w:afterAutospacing="1" w:line="240" w:lineRule="auto"/>
      <w:textAlignment w:val="auto"/>
    </w:pPr>
    <w:rPr>
      <w:rFonts w:ascii="Times New Roman" w:eastAsiaTheme="minorHAnsi" w:hAnsi="Times New Roman"/>
      <w:sz w:val="24"/>
      <w:szCs w:val="24"/>
    </w:rPr>
  </w:style>
  <w:style w:type="character" w:styleId="Siln">
    <w:name w:val="Strong"/>
    <w:basedOn w:val="Standardnpsmoodstavce"/>
    <w:uiPriority w:val="22"/>
    <w:qFormat/>
    <w:rPr>
      <w:b/>
      <w:bCs/>
    </w:rPr>
  </w:style>
  <w:style w:type="character" w:styleId="Sledovanodkaz">
    <w:name w:val="FollowedHyperlink"/>
    <w:basedOn w:val="Standardnpsmoodstavce"/>
    <w:uiPriority w:val="34"/>
    <w:rPr>
      <w:color w:val="800080"/>
      <w:u w:val="single"/>
    </w:rPr>
  </w:style>
  <w:style w:type="paragraph" w:customStyle="1" w:styleId="Default">
    <w:name w:val="Default"/>
    <w:uiPriority w:val="99"/>
    <w:pPr>
      <w:autoSpaceDE w:val="0"/>
      <w:autoSpaceDN w:val="0"/>
      <w:adjustRightInd w:val="0"/>
    </w:pPr>
    <w:rPr>
      <w:color w:val="000000"/>
      <w:sz w:val="24"/>
      <w:szCs w:val="24"/>
    </w:r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pPr>
      <w:tabs>
        <w:tab w:val="center" w:pos="4536"/>
        <w:tab w:val="right" w:pos="9072"/>
      </w:tabs>
      <w:spacing w:after="0" w:line="240" w:lineRule="auto"/>
    </w:pPr>
  </w:style>
  <w:style w:type="character" w:customStyle="1" w:styleId="ZhlavChar">
    <w:name w:val="Záhlaví Char"/>
    <w:basedOn w:val="Standardnpsmoodstavce"/>
    <w:link w:val="Zhlav"/>
    <w:uiPriority w:val="99"/>
    <w:rPr>
      <w:rFonts w:asciiTheme="minorHAnsi" w:hAnsiTheme="minorHAnsi"/>
      <w:sz w:val="22"/>
    </w:rPr>
  </w:style>
  <w:style w:type="paragraph" w:styleId="Zpat">
    <w:name w:val="footer"/>
    <w:basedOn w:val="Normln"/>
    <w:link w:val="ZpatChar"/>
    <w:uiPriority w:val="99"/>
    <w:pPr>
      <w:tabs>
        <w:tab w:val="center" w:pos="4536"/>
        <w:tab w:val="right" w:pos="9072"/>
      </w:tabs>
      <w:spacing w:after="0" w:line="240" w:lineRule="auto"/>
    </w:pPr>
  </w:style>
  <w:style w:type="character" w:customStyle="1" w:styleId="ZpatChar">
    <w:name w:val="Zápatí Char"/>
    <w:basedOn w:val="Standardnpsmoodstavce"/>
    <w:link w:val="Zpat"/>
    <w:uiPriority w:val="99"/>
    <w:rPr>
      <w:rFonts w:asciiTheme="minorHAnsi" w:hAnsiTheme="minorHAnsi"/>
      <w:sz w:val="22"/>
    </w:rPr>
  </w:style>
  <w:style w:type="paragraph" w:styleId="Textbubliny">
    <w:name w:val="Balloon Text"/>
    <w:basedOn w:val="Normln"/>
    <w:link w:val="TextbublinyChar"/>
    <w:uiPriority w:val="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rPr>
      <w:rFonts w:ascii="Tahoma" w:hAnsi="Tahoma" w:cs="Tahoma"/>
      <w:sz w:val="16"/>
      <w:szCs w:val="16"/>
    </w:rPr>
  </w:style>
  <w:style w:type="character" w:customStyle="1" w:styleId="Nadpis1Char">
    <w:name w:val="Nadpis 1 Char"/>
    <w:basedOn w:val="Standardnpsmoodstavce"/>
    <w:link w:val="Nadpis1"/>
    <w:uiPriority w:val="7"/>
    <w:rPr>
      <w:b/>
      <w:bCs/>
      <w:kern w:val="36"/>
      <w:sz w:val="43"/>
      <w:szCs w:val="43"/>
    </w:rPr>
  </w:style>
  <w:style w:type="paragraph" w:styleId="Odstavecseseznamem">
    <w:name w:val="List Paragraph"/>
    <w:basedOn w:val="Normln"/>
    <w:uiPriority w:val="34"/>
    <w:qFormat/>
    <w:pPr>
      <w:ind w:left="720"/>
      <w:contextualSpacing/>
    </w:pPr>
  </w:style>
  <w:style w:type="paragraph" w:styleId="slovanseznam">
    <w:name w:val="List Number"/>
    <w:aliases w:val="Číslovaný seznam A"/>
    <w:basedOn w:val="Normln"/>
    <w:link w:val="slovanseznamChar"/>
    <w:uiPriority w:val="15"/>
    <w:qFormat/>
    <w:pPr>
      <w:numPr>
        <w:numId w:val="1"/>
      </w:numPr>
      <w:overflowPunct/>
      <w:autoSpaceDE/>
      <w:autoSpaceDN/>
      <w:adjustRightInd/>
      <w:spacing w:after="240" w:line="240" w:lineRule="auto"/>
      <w:jc w:val="both"/>
      <w:textAlignment w:val="auto"/>
    </w:pPr>
    <w:rPr>
      <w:rFonts w:ascii="Times New Roman" w:hAnsi="Times New Roman"/>
      <w:sz w:val="24"/>
      <w:lang w:val="en-GB" w:eastAsia="en-US"/>
    </w:rPr>
  </w:style>
  <w:style w:type="paragraph" w:customStyle="1" w:styleId="ListNumberLevel2">
    <w:name w:val="List Number (Level 2)"/>
    <w:basedOn w:val="Normln"/>
    <w:pPr>
      <w:numPr>
        <w:ilvl w:val="1"/>
        <w:numId w:val="1"/>
      </w:numPr>
      <w:overflowPunct/>
      <w:autoSpaceDE/>
      <w:autoSpaceDN/>
      <w:adjustRightInd/>
      <w:spacing w:after="240" w:line="240" w:lineRule="auto"/>
      <w:jc w:val="both"/>
      <w:textAlignment w:val="auto"/>
    </w:pPr>
    <w:rPr>
      <w:rFonts w:ascii="Times New Roman" w:hAnsi="Times New Roman"/>
      <w:sz w:val="24"/>
      <w:lang w:val="en-GB" w:eastAsia="en-US"/>
    </w:rPr>
  </w:style>
  <w:style w:type="paragraph" w:customStyle="1" w:styleId="ListNumberLevel3">
    <w:name w:val="List Number (Level 3)"/>
    <w:basedOn w:val="Normln"/>
    <w:pPr>
      <w:numPr>
        <w:ilvl w:val="2"/>
        <w:numId w:val="1"/>
      </w:numPr>
      <w:overflowPunct/>
      <w:autoSpaceDE/>
      <w:autoSpaceDN/>
      <w:adjustRightInd/>
      <w:spacing w:after="240" w:line="240" w:lineRule="auto"/>
      <w:jc w:val="both"/>
      <w:textAlignment w:val="auto"/>
    </w:pPr>
    <w:rPr>
      <w:rFonts w:ascii="Times New Roman" w:hAnsi="Times New Roman"/>
      <w:sz w:val="24"/>
      <w:lang w:val="en-GB" w:eastAsia="en-US"/>
    </w:rPr>
  </w:style>
  <w:style w:type="paragraph" w:customStyle="1" w:styleId="ListNumberLevel4">
    <w:name w:val="List Number (Level 4)"/>
    <w:basedOn w:val="Normln"/>
    <w:pPr>
      <w:numPr>
        <w:ilvl w:val="3"/>
        <w:numId w:val="1"/>
      </w:numPr>
      <w:overflowPunct/>
      <w:autoSpaceDE/>
      <w:autoSpaceDN/>
      <w:adjustRightInd/>
      <w:spacing w:after="240" w:line="240" w:lineRule="auto"/>
      <w:jc w:val="both"/>
      <w:textAlignment w:val="auto"/>
    </w:pPr>
    <w:rPr>
      <w:rFonts w:ascii="Times New Roman" w:hAnsi="Times New Roman"/>
      <w:sz w:val="24"/>
      <w:lang w:val="en-GB" w:eastAsia="en-US"/>
    </w:rPr>
  </w:style>
  <w:style w:type="character" w:customStyle="1" w:styleId="slovanseznamChar">
    <w:name w:val="Číslovaný seznam Char"/>
    <w:aliases w:val="Číslovaný seznam A Char"/>
    <w:link w:val="slovanseznam"/>
    <w:uiPriority w:val="15"/>
    <w:rPr>
      <w:sz w:val="24"/>
      <w:lang w:val="en-GB" w:eastAsia="en-US"/>
    </w:rPr>
  </w:style>
  <w:style w:type="paragraph" w:styleId="Textpoznpodarou">
    <w:name w:val="footnote text"/>
    <w:aliases w:val="fn,Schriftart: 9 pt,Schriftart: 10 pt,Schriftart: 8 pt,WB-Fußnotentext,WB-Fußnotentext Char Char Char Char Char,WB-Fußnotentext Char,WB-Fußnotentext Car,Footnote Text Char2 Char,Footnote Text Char Char Char1,Schriftar,9,Fußnote,f"/>
    <w:basedOn w:val="Normln"/>
    <w:link w:val="TextpoznpodarouChar"/>
    <w:uiPriority w:val="99"/>
    <w:qFormat/>
    <w:pPr>
      <w:overflowPunct/>
      <w:autoSpaceDE/>
      <w:autoSpaceDN/>
      <w:adjustRightInd/>
      <w:spacing w:after="0" w:line="240" w:lineRule="auto"/>
      <w:textAlignment w:val="auto"/>
    </w:pPr>
    <w:rPr>
      <w:rFonts w:eastAsiaTheme="minorHAnsi" w:cstheme="minorBidi"/>
      <w:sz w:val="20"/>
      <w:lang w:val="en-GB" w:eastAsia="en-US"/>
    </w:rPr>
  </w:style>
  <w:style w:type="character" w:customStyle="1" w:styleId="TextpoznpodarouChar">
    <w:name w:val="Text pozn. pod čarou Char"/>
    <w:aliases w:val="fn Char,Schriftart: 9 pt Char,Schriftart: 10 pt Char,Schriftart: 8 pt Char,WB-Fußnotentext Char1,WB-Fußnotentext Char Char Char Char Char Char,WB-Fußnotentext Char Char,WB-Fußnotentext Car Char,Footnote Text Char2 Char Char"/>
    <w:basedOn w:val="Standardnpsmoodstavce"/>
    <w:link w:val="Textpoznpodarou"/>
    <w:uiPriority w:val="99"/>
    <w:rPr>
      <w:rFonts w:asciiTheme="minorHAnsi" w:eastAsiaTheme="minorHAnsi" w:hAnsiTheme="minorHAnsi" w:cstheme="minorBidi"/>
      <w:lang w:val="en-GB" w:eastAsia="en-US"/>
    </w:rPr>
  </w:style>
  <w:style w:type="character" w:styleId="Odkaznakoment">
    <w:name w:val="annotation reference"/>
    <w:basedOn w:val="Standardnpsmoodstavce"/>
    <w:uiPriority w:val="99"/>
    <w:semiHidden/>
    <w:unhideWhenUsed/>
    <w:rsid w:val="00F46286"/>
    <w:rPr>
      <w:sz w:val="16"/>
      <w:szCs w:val="16"/>
    </w:rPr>
  </w:style>
  <w:style w:type="paragraph" w:styleId="Textkomente">
    <w:name w:val="annotation text"/>
    <w:basedOn w:val="Normln"/>
    <w:link w:val="TextkomenteChar"/>
    <w:uiPriority w:val="99"/>
    <w:unhideWhenUsed/>
    <w:rsid w:val="00F46286"/>
    <w:pPr>
      <w:spacing w:line="240" w:lineRule="auto"/>
    </w:pPr>
    <w:rPr>
      <w:sz w:val="20"/>
    </w:rPr>
  </w:style>
  <w:style w:type="character" w:customStyle="1" w:styleId="TextkomenteChar">
    <w:name w:val="Text komentáře Char"/>
    <w:basedOn w:val="Standardnpsmoodstavce"/>
    <w:link w:val="Textkomente"/>
    <w:uiPriority w:val="99"/>
    <w:rsid w:val="00F46286"/>
    <w:rPr>
      <w:rFonts w:asciiTheme="minorHAnsi" w:hAnsiTheme="minorHAnsi"/>
    </w:rPr>
  </w:style>
  <w:style w:type="paragraph" w:styleId="Pedmtkomente">
    <w:name w:val="annotation subject"/>
    <w:basedOn w:val="Textkomente"/>
    <w:next w:val="Textkomente"/>
    <w:link w:val="PedmtkomenteChar"/>
    <w:uiPriority w:val="99"/>
    <w:semiHidden/>
    <w:unhideWhenUsed/>
    <w:rsid w:val="00F46286"/>
    <w:rPr>
      <w:b/>
      <w:bCs/>
    </w:rPr>
  </w:style>
  <w:style w:type="character" w:customStyle="1" w:styleId="PedmtkomenteChar">
    <w:name w:val="Předmět komentáře Char"/>
    <w:basedOn w:val="TextkomenteChar"/>
    <w:link w:val="Pedmtkomente"/>
    <w:uiPriority w:val="99"/>
    <w:semiHidden/>
    <w:rsid w:val="00F46286"/>
    <w:rPr>
      <w:rFonts w:asciiTheme="minorHAnsi" w:hAnsiTheme="minorHAnsi"/>
      <w:b/>
      <w:bCs/>
    </w:rPr>
  </w:style>
  <w:style w:type="paragraph" w:styleId="Prosttext">
    <w:name w:val="Plain Text"/>
    <w:basedOn w:val="Normln"/>
    <w:link w:val="ProsttextChar"/>
    <w:uiPriority w:val="99"/>
    <w:semiHidden/>
    <w:unhideWhenUsed/>
    <w:rsid w:val="00F049AE"/>
    <w:pPr>
      <w:overflowPunct/>
      <w:autoSpaceDE/>
      <w:autoSpaceDN/>
      <w:adjustRightInd/>
      <w:spacing w:after="0" w:line="240" w:lineRule="auto"/>
      <w:textAlignment w:val="auto"/>
    </w:pPr>
    <w:rPr>
      <w:rFonts w:ascii="Calibri" w:eastAsiaTheme="minorHAnsi" w:hAnsi="Calibri" w:cs="Consolas"/>
      <w:szCs w:val="21"/>
      <w:lang w:eastAsia="en-US"/>
    </w:rPr>
  </w:style>
  <w:style w:type="character" w:customStyle="1" w:styleId="ProsttextChar">
    <w:name w:val="Prostý text Char"/>
    <w:basedOn w:val="Standardnpsmoodstavce"/>
    <w:link w:val="Prosttext"/>
    <w:uiPriority w:val="99"/>
    <w:semiHidden/>
    <w:rsid w:val="00F049AE"/>
    <w:rPr>
      <w:rFonts w:ascii="Calibri" w:eastAsiaTheme="minorHAnsi" w:hAnsi="Calibri" w:cs="Consolas"/>
      <w:sz w:val="22"/>
      <w:szCs w:val="21"/>
      <w:lang w:eastAsia="en-US"/>
    </w:rPr>
  </w:style>
  <w:style w:type="character" w:styleId="Znakapoznpodarou">
    <w:name w:val="footnote reference"/>
    <w:basedOn w:val="Standardnpsmoodstavce"/>
    <w:uiPriority w:val="99"/>
    <w:unhideWhenUsed/>
    <w:rsid w:val="001F27C6"/>
    <w:rPr>
      <w:vertAlign w:val="superscript"/>
    </w:rPr>
  </w:style>
  <w:style w:type="table" w:customStyle="1" w:styleId="Mkatabulky1">
    <w:name w:val="Mřížka tabulky1"/>
    <w:basedOn w:val="Normlntabulka"/>
    <w:next w:val="Mkatabulky"/>
    <w:uiPriority w:val="59"/>
    <w:rsid w:val="00367473"/>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7"/>
    <w:rsid w:val="00682587"/>
    <w:rPr>
      <w:rFonts w:asciiTheme="majorHAnsi" w:eastAsiaTheme="majorEastAsia" w:hAnsiTheme="majorHAnsi" w:cstheme="majorBidi"/>
      <w:b/>
      <w:color w:val="000000" w:themeColor="text1"/>
      <w:sz w:val="26"/>
      <w:szCs w:val="26"/>
      <w:lang w:eastAsia="en-US"/>
    </w:rPr>
  </w:style>
  <w:style w:type="character" w:customStyle="1" w:styleId="Nadpis3Char">
    <w:name w:val="Nadpis 3 Char"/>
    <w:basedOn w:val="Standardnpsmoodstavce"/>
    <w:link w:val="Nadpis3"/>
    <w:uiPriority w:val="7"/>
    <w:rsid w:val="00682587"/>
    <w:rPr>
      <w:rFonts w:asciiTheme="majorHAnsi" w:eastAsiaTheme="majorEastAsia" w:hAnsiTheme="majorHAnsi" w:cstheme="majorBidi"/>
      <w:b/>
      <w:color w:val="000000" w:themeColor="text1"/>
      <w:sz w:val="24"/>
      <w:szCs w:val="24"/>
      <w:lang w:eastAsia="en-US"/>
    </w:rPr>
  </w:style>
  <w:style w:type="character" w:customStyle="1" w:styleId="Nadpis4Char">
    <w:name w:val="Nadpis 4 Char"/>
    <w:basedOn w:val="Standardnpsmoodstavce"/>
    <w:link w:val="Nadpis4"/>
    <w:uiPriority w:val="7"/>
    <w:rsid w:val="00682587"/>
    <w:rPr>
      <w:rFonts w:asciiTheme="majorHAnsi" w:eastAsiaTheme="majorEastAsia" w:hAnsiTheme="majorHAnsi" w:cstheme="majorBidi"/>
      <w:i/>
      <w:iCs/>
      <w:color w:val="000000" w:themeColor="text1"/>
      <w:sz w:val="24"/>
      <w:szCs w:val="22"/>
      <w:lang w:eastAsia="en-US"/>
    </w:rPr>
  </w:style>
  <w:style w:type="character" w:customStyle="1" w:styleId="Nadpis5Char">
    <w:name w:val="Nadpis 5 Char"/>
    <w:basedOn w:val="Standardnpsmoodstavce"/>
    <w:link w:val="Nadpis5"/>
    <w:uiPriority w:val="7"/>
    <w:rsid w:val="00682587"/>
    <w:rPr>
      <w:rFonts w:asciiTheme="majorHAnsi" w:eastAsiaTheme="majorEastAsia" w:hAnsiTheme="majorHAnsi" w:cstheme="majorBidi"/>
      <w:b/>
      <w:color w:val="000000" w:themeColor="text1"/>
      <w:sz w:val="22"/>
      <w:szCs w:val="22"/>
      <w:lang w:eastAsia="en-US"/>
    </w:rPr>
  </w:style>
  <w:style w:type="character" w:customStyle="1" w:styleId="Nadpis6Char">
    <w:name w:val="Nadpis 6 Char"/>
    <w:basedOn w:val="Standardnpsmoodstavce"/>
    <w:link w:val="Nadpis6"/>
    <w:uiPriority w:val="7"/>
    <w:rsid w:val="00682587"/>
    <w:rPr>
      <w:rFonts w:asciiTheme="majorHAnsi" w:eastAsiaTheme="majorEastAsia" w:hAnsiTheme="majorHAnsi" w:cstheme="majorBidi"/>
      <w:i/>
      <w:color w:val="000000" w:themeColor="text1"/>
      <w:sz w:val="22"/>
      <w:szCs w:val="22"/>
      <w:lang w:eastAsia="en-US"/>
    </w:rPr>
  </w:style>
  <w:style w:type="character" w:customStyle="1" w:styleId="Nadpis7Char">
    <w:name w:val="Nadpis 7 Char"/>
    <w:basedOn w:val="Standardnpsmoodstavce"/>
    <w:link w:val="Nadpis7"/>
    <w:uiPriority w:val="7"/>
    <w:rsid w:val="00682587"/>
    <w:rPr>
      <w:rFonts w:asciiTheme="majorHAnsi" w:eastAsiaTheme="majorEastAsia" w:hAnsiTheme="majorHAnsi" w:cstheme="majorBidi"/>
      <w:iCs/>
      <w:color w:val="000000" w:themeColor="text1"/>
      <w:sz w:val="22"/>
      <w:szCs w:val="22"/>
      <w:lang w:eastAsia="en-US"/>
    </w:rPr>
  </w:style>
  <w:style w:type="character" w:customStyle="1" w:styleId="Nadpis8Char">
    <w:name w:val="Nadpis 8 Char"/>
    <w:basedOn w:val="Standardnpsmoodstavce"/>
    <w:link w:val="Nadpis8"/>
    <w:uiPriority w:val="7"/>
    <w:rsid w:val="00682587"/>
    <w:rPr>
      <w:rFonts w:asciiTheme="majorHAnsi" w:eastAsiaTheme="majorEastAsia" w:hAnsiTheme="majorHAnsi" w:cstheme="majorBidi"/>
      <w:b/>
      <w:color w:val="272727" w:themeColor="text1" w:themeTint="D8"/>
      <w:sz w:val="22"/>
      <w:szCs w:val="21"/>
      <w:lang w:eastAsia="en-US"/>
    </w:rPr>
  </w:style>
  <w:style w:type="character" w:customStyle="1" w:styleId="Nadpis9Char">
    <w:name w:val="Nadpis 9 Char"/>
    <w:basedOn w:val="Standardnpsmoodstavce"/>
    <w:link w:val="Nadpis9"/>
    <w:uiPriority w:val="7"/>
    <w:rsid w:val="00682587"/>
    <w:rPr>
      <w:rFonts w:asciiTheme="majorHAnsi" w:eastAsiaTheme="majorEastAsia" w:hAnsiTheme="majorHAnsi" w:cstheme="majorBidi"/>
      <w:i/>
      <w:iCs/>
      <w:color w:val="272727" w:themeColor="text1" w:themeTint="D8"/>
      <w:sz w:val="21"/>
      <w:szCs w:val="21"/>
      <w:lang w:eastAsia="en-US"/>
    </w:rPr>
  </w:style>
  <w:style w:type="numbering" w:customStyle="1" w:styleId="VariantaB-odrky">
    <w:name w:val="Varianta B - odrážky"/>
    <w:uiPriority w:val="99"/>
    <w:rsid w:val="00682587"/>
    <w:pPr>
      <w:numPr>
        <w:numId w:val="5"/>
      </w:numPr>
    </w:pPr>
  </w:style>
  <w:style w:type="numbering" w:customStyle="1" w:styleId="VariantaA-odrky">
    <w:name w:val="Varianta A - odrážky"/>
    <w:uiPriority w:val="99"/>
    <w:rsid w:val="00682587"/>
    <w:pPr>
      <w:numPr>
        <w:numId w:val="6"/>
      </w:numPr>
    </w:pPr>
  </w:style>
  <w:style w:type="numbering" w:customStyle="1" w:styleId="VariantaA-sla">
    <w:name w:val="Varianta A - čísla"/>
    <w:uiPriority w:val="99"/>
    <w:rsid w:val="00682587"/>
    <w:pPr>
      <w:numPr>
        <w:numId w:val="8"/>
      </w:numPr>
    </w:pPr>
  </w:style>
  <w:style w:type="numbering" w:customStyle="1" w:styleId="VariantaB-sla">
    <w:name w:val="Varianta B - čísla"/>
    <w:uiPriority w:val="99"/>
    <w:rsid w:val="00682587"/>
    <w:pPr>
      <w:numPr>
        <w:numId w:val="7"/>
      </w:numPr>
    </w:pPr>
  </w:style>
  <w:style w:type="paragraph" w:styleId="Nzev">
    <w:name w:val="Title"/>
    <w:basedOn w:val="Normln"/>
    <w:next w:val="Normln"/>
    <w:link w:val="NzevChar"/>
    <w:uiPriority w:val="4"/>
    <w:qFormat/>
    <w:rsid w:val="00682587"/>
    <w:pPr>
      <w:keepNext/>
      <w:keepLines/>
      <w:overflowPunct/>
      <w:autoSpaceDE/>
      <w:autoSpaceDN/>
      <w:adjustRightInd/>
      <w:spacing w:after="0" w:line="240" w:lineRule="auto"/>
      <w:contextualSpacing/>
      <w:textAlignment w:val="auto"/>
    </w:pPr>
    <w:rPr>
      <w:rFonts w:asciiTheme="majorHAnsi" w:eastAsiaTheme="majorEastAsia" w:hAnsiTheme="majorHAnsi" w:cstheme="majorBidi"/>
      <w:color w:val="000000" w:themeColor="text1"/>
      <w:spacing w:val="-10"/>
      <w:kern w:val="28"/>
      <w:sz w:val="48"/>
      <w:szCs w:val="56"/>
      <w:lang w:eastAsia="en-US"/>
    </w:rPr>
  </w:style>
  <w:style w:type="character" w:customStyle="1" w:styleId="NzevChar">
    <w:name w:val="Název Char"/>
    <w:basedOn w:val="Standardnpsmoodstavce"/>
    <w:link w:val="Nzev"/>
    <w:uiPriority w:val="4"/>
    <w:rsid w:val="00682587"/>
    <w:rPr>
      <w:rFonts w:asciiTheme="majorHAnsi" w:eastAsiaTheme="majorEastAsia" w:hAnsiTheme="majorHAnsi" w:cstheme="majorBidi"/>
      <w:color w:val="000000" w:themeColor="text1"/>
      <w:spacing w:val="-10"/>
      <w:kern w:val="28"/>
      <w:sz w:val="48"/>
      <w:szCs w:val="56"/>
      <w:lang w:eastAsia="en-US"/>
    </w:rPr>
  </w:style>
  <w:style w:type="character" w:styleId="Zdraznnintenzivn">
    <w:name w:val="Intense Emphasis"/>
    <w:basedOn w:val="Standardnpsmoodstavce"/>
    <w:uiPriority w:val="21"/>
    <w:qFormat/>
    <w:rsid w:val="00682587"/>
    <w:rPr>
      <w:b/>
      <w:i/>
      <w:iCs/>
      <w:color w:val="000000" w:themeColor="text1"/>
    </w:rPr>
  </w:style>
  <w:style w:type="paragraph" w:styleId="Vrazncitt">
    <w:name w:val="Intense Quote"/>
    <w:basedOn w:val="Normln"/>
    <w:next w:val="Normln"/>
    <w:link w:val="VrazncittChar"/>
    <w:uiPriority w:val="28"/>
    <w:qFormat/>
    <w:rsid w:val="00682587"/>
    <w:pPr>
      <w:keepLines/>
      <w:pBdr>
        <w:top w:val="single" w:sz="4" w:space="10" w:color="000000" w:themeColor="text1"/>
        <w:bottom w:val="single" w:sz="4" w:space="10" w:color="000000" w:themeColor="text1"/>
      </w:pBdr>
      <w:overflowPunct/>
      <w:autoSpaceDE/>
      <w:autoSpaceDN/>
      <w:adjustRightInd/>
      <w:spacing w:before="240" w:after="240" w:line="293" w:lineRule="auto"/>
      <w:ind w:left="357" w:right="357"/>
      <w:textAlignment w:val="auto"/>
    </w:pPr>
    <w:rPr>
      <w:rFonts w:eastAsiaTheme="minorHAnsi" w:cstheme="minorBidi"/>
      <w:i/>
      <w:iCs/>
      <w:color w:val="000000" w:themeColor="text1"/>
      <w:szCs w:val="22"/>
      <w:lang w:eastAsia="en-US"/>
    </w:rPr>
  </w:style>
  <w:style w:type="character" w:customStyle="1" w:styleId="VrazncittChar">
    <w:name w:val="Výrazný citát Char"/>
    <w:basedOn w:val="Standardnpsmoodstavce"/>
    <w:link w:val="Vrazncitt"/>
    <w:uiPriority w:val="28"/>
    <w:rsid w:val="00682587"/>
    <w:rPr>
      <w:rFonts w:asciiTheme="minorHAnsi" w:eastAsiaTheme="minorHAnsi" w:hAnsiTheme="minorHAnsi" w:cstheme="minorBidi"/>
      <w:i/>
      <w:iCs/>
      <w:color w:val="000000" w:themeColor="text1"/>
      <w:sz w:val="22"/>
      <w:szCs w:val="22"/>
      <w:lang w:eastAsia="en-US"/>
    </w:rPr>
  </w:style>
  <w:style w:type="character" w:styleId="Odkazintenzivn">
    <w:name w:val="Intense Reference"/>
    <w:basedOn w:val="Standardnpsmoodstavce"/>
    <w:uiPriority w:val="24"/>
    <w:qFormat/>
    <w:rsid w:val="00682587"/>
    <w:rPr>
      <w:b/>
      <w:bCs/>
      <w:smallCaps/>
      <w:color w:val="000000" w:themeColor="text1"/>
      <w:spacing w:val="5"/>
    </w:rPr>
  </w:style>
  <w:style w:type="paragraph" w:styleId="slovanseznam2">
    <w:name w:val="List Number 2"/>
    <w:aliases w:val="Číslovaný seznam A 2"/>
    <w:basedOn w:val="Normln"/>
    <w:uiPriority w:val="15"/>
    <w:qFormat/>
    <w:rsid w:val="00682587"/>
    <w:pPr>
      <w:overflowPunct/>
      <w:autoSpaceDE/>
      <w:autoSpaceDN/>
      <w:adjustRightInd/>
      <w:spacing w:after="0" w:line="293" w:lineRule="auto"/>
      <w:ind w:left="851" w:hanging="494"/>
      <w:contextualSpacing/>
      <w:textAlignment w:val="auto"/>
    </w:pPr>
    <w:rPr>
      <w:rFonts w:eastAsiaTheme="minorHAnsi" w:cstheme="minorBidi"/>
      <w:color w:val="000000" w:themeColor="text1"/>
      <w:szCs w:val="22"/>
      <w:lang w:eastAsia="en-US"/>
    </w:rPr>
  </w:style>
  <w:style w:type="paragraph" w:styleId="slovanseznam3">
    <w:name w:val="List Number 3"/>
    <w:aliases w:val="Číslovaný seznam A 3"/>
    <w:basedOn w:val="Normln"/>
    <w:uiPriority w:val="15"/>
    <w:qFormat/>
    <w:rsid w:val="00682587"/>
    <w:pPr>
      <w:overflowPunct/>
      <w:autoSpaceDE/>
      <w:autoSpaceDN/>
      <w:adjustRightInd/>
      <w:spacing w:after="0" w:line="293" w:lineRule="auto"/>
      <w:ind w:left="1474" w:hanging="623"/>
      <w:contextualSpacing/>
      <w:textAlignment w:val="auto"/>
    </w:pPr>
    <w:rPr>
      <w:rFonts w:eastAsiaTheme="minorHAnsi" w:cstheme="minorBidi"/>
      <w:color w:val="000000" w:themeColor="text1"/>
      <w:szCs w:val="22"/>
      <w:lang w:eastAsia="en-US"/>
    </w:rPr>
  </w:style>
  <w:style w:type="paragraph" w:styleId="slovanseznam4">
    <w:name w:val="List Number 4"/>
    <w:aliases w:val="Číslovaný seznam A 4"/>
    <w:basedOn w:val="Normln"/>
    <w:uiPriority w:val="15"/>
    <w:qFormat/>
    <w:rsid w:val="00682587"/>
    <w:pPr>
      <w:tabs>
        <w:tab w:val="num" w:pos="1474"/>
      </w:tabs>
      <w:overflowPunct/>
      <w:autoSpaceDE/>
      <w:autoSpaceDN/>
      <w:adjustRightInd/>
      <w:spacing w:after="0" w:line="293" w:lineRule="auto"/>
      <w:ind w:left="2268" w:hanging="794"/>
      <w:contextualSpacing/>
      <w:textAlignment w:val="auto"/>
    </w:pPr>
    <w:rPr>
      <w:rFonts w:eastAsiaTheme="minorHAnsi" w:cstheme="minorBidi"/>
      <w:color w:val="000000" w:themeColor="text1"/>
      <w:szCs w:val="22"/>
      <w:lang w:eastAsia="en-US"/>
    </w:rPr>
  </w:style>
  <w:style w:type="paragraph" w:styleId="slovanseznam5">
    <w:name w:val="List Number 5"/>
    <w:aliases w:val="Číslovaný seznam A 5"/>
    <w:basedOn w:val="Normln"/>
    <w:uiPriority w:val="15"/>
    <w:qFormat/>
    <w:rsid w:val="00682587"/>
    <w:pPr>
      <w:overflowPunct/>
      <w:autoSpaceDE/>
      <w:autoSpaceDN/>
      <w:adjustRightInd/>
      <w:spacing w:after="0" w:line="293" w:lineRule="auto"/>
      <w:ind w:left="3232" w:hanging="964"/>
      <w:contextualSpacing/>
      <w:textAlignment w:val="auto"/>
    </w:pPr>
    <w:rPr>
      <w:rFonts w:eastAsiaTheme="minorHAnsi" w:cstheme="minorBidi"/>
      <w:color w:val="000000" w:themeColor="text1"/>
      <w:szCs w:val="22"/>
      <w:lang w:eastAsia="en-US"/>
    </w:rPr>
  </w:style>
  <w:style w:type="paragraph" w:customStyle="1" w:styleId="slovanseznamB">
    <w:name w:val="Číslovaný seznam B"/>
    <w:basedOn w:val="Normln"/>
    <w:uiPriority w:val="16"/>
    <w:qFormat/>
    <w:rsid w:val="00682587"/>
    <w:pPr>
      <w:numPr>
        <w:numId w:val="9"/>
      </w:numPr>
      <w:overflowPunct/>
      <w:autoSpaceDE/>
      <w:autoSpaceDN/>
      <w:adjustRightInd/>
      <w:spacing w:after="0" w:line="293" w:lineRule="auto"/>
      <w:textAlignment w:val="auto"/>
    </w:pPr>
    <w:rPr>
      <w:rFonts w:eastAsiaTheme="minorHAnsi" w:cstheme="minorBidi"/>
      <w:color w:val="000000" w:themeColor="text1"/>
      <w:szCs w:val="22"/>
      <w:lang w:eastAsia="en-US"/>
    </w:rPr>
  </w:style>
  <w:style w:type="paragraph" w:customStyle="1" w:styleId="slovanseznamB2">
    <w:name w:val="Číslovaný seznam B 2"/>
    <w:basedOn w:val="Normln"/>
    <w:uiPriority w:val="16"/>
    <w:qFormat/>
    <w:rsid w:val="00682587"/>
    <w:pPr>
      <w:numPr>
        <w:ilvl w:val="1"/>
        <w:numId w:val="9"/>
      </w:numPr>
      <w:overflowPunct/>
      <w:autoSpaceDE/>
      <w:autoSpaceDN/>
      <w:adjustRightInd/>
      <w:spacing w:after="0" w:line="293" w:lineRule="auto"/>
      <w:textAlignment w:val="auto"/>
    </w:pPr>
    <w:rPr>
      <w:rFonts w:eastAsiaTheme="minorHAnsi" w:cstheme="minorBidi"/>
      <w:color w:val="000000" w:themeColor="text1"/>
      <w:szCs w:val="22"/>
      <w:lang w:eastAsia="en-US"/>
    </w:rPr>
  </w:style>
  <w:style w:type="paragraph" w:customStyle="1" w:styleId="slovanseznamB3">
    <w:name w:val="Číslovaný seznam B 3"/>
    <w:basedOn w:val="Normln"/>
    <w:uiPriority w:val="16"/>
    <w:qFormat/>
    <w:rsid w:val="00682587"/>
    <w:pPr>
      <w:numPr>
        <w:ilvl w:val="2"/>
        <w:numId w:val="9"/>
      </w:numPr>
      <w:overflowPunct/>
      <w:autoSpaceDE/>
      <w:autoSpaceDN/>
      <w:adjustRightInd/>
      <w:spacing w:after="0" w:line="293" w:lineRule="auto"/>
      <w:textAlignment w:val="auto"/>
    </w:pPr>
    <w:rPr>
      <w:rFonts w:eastAsiaTheme="minorHAnsi" w:cstheme="minorBidi"/>
      <w:color w:val="000000" w:themeColor="text1"/>
      <w:szCs w:val="22"/>
      <w:lang w:eastAsia="en-US"/>
    </w:rPr>
  </w:style>
  <w:style w:type="paragraph" w:customStyle="1" w:styleId="slovanseznamB4">
    <w:name w:val="Číslovaný seznam B 4"/>
    <w:basedOn w:val="Normln"/>
    <w:uiPriority w:val="16"/>
    <w:qFormat/>
    <w:rsid w:val="00682587"/>
    <w:pPr>
      <w:numPr>
        <w:ilvl w:val="3"/>
        <w:numId w:val="9"/>
      </w:numPr>
      <w:overflowPunct/>
      <w:autoSpaceDE/>
      <w:autoSpaceDN/>
      <w:adjustRightInd/>
      <w:spacing w:after="0" w:line="293" w:lineRule="auto"/>
      <w:textAlignment w:val="auto"/>
    </w:pPr>
    <w:rPr>
      <w:rFonts w:eastAsiaTheme="minorHAnsi" w:cstheme="minorBidi"/>
      <w:color w:val="000000" w:themeColor="text1"/>
      <w:szCs w:val="22"/>
      <w:lang w:eastAsia="en-US"/>
    </w:rPr>
  </w:style>
  <w:style w:type="paragraph" w:customStyle="1" w:styleId="slovanseznamB5">
    <w:name w:val="Číslovaný seznam B 5"/>
    <w:basedOn w:val="Normln"/>
    <w:uiPriority w:val="16"/>
    <w:qFormat/>
    <w:rsid w:val="00682587"/>
    <w:pPr>
      <w:numPr>
        <w:ilvl w:val="4"/>
        <w:numId w:val="9"/>
      </w:numPr>
      <w:overflowPunct/>
      <w:autoSpaceDE/>
      <w:autoSpaceDN/>
      <w:adjustRightInd/>
      <w:spacing w:after="0" w:line="293" w:lineRule="auto"/>
      <w:textAlignment w:val="auto"/>
    </w:pPr>
    <w:rPr>
      <w:rFonts w:eastAsiaTheme="minorHAnsi" w:cstheme="minorBidi"/>
      <w:color w:val="000000" w:themeColor="text1"/>
      <w:szCs w:val="22"/>
      <w:lang w:eastAsia="en-US"/>
    </w:rPr>
  </w:style>
  <w:style w:type="paragraph" w:styleId="Seznamsodrkami3">
    <w:name w:val="List Bullet 3"/>
    <w:aliases w:val="Seznam s odrážkami A 3"/>
    <w:basedOn w:val="Normln"/>
    <w:uiPriority w:val="10"/>
    <w:qFormat/>
    <w:rsid w:val="00682587"/>
    <w:pPr>
      <w:numPr>
        <w:ilvl w:val="2"/>
        <w:numId w:val="10"/>
      </w:numPr>
      <w:overflowPunct/>
      <w:autoSpaceDE/>
      <w:autoSpaceDN/>
      <w:adjustRightInd/>
      <w:spacing w:after="0" w:line="293" w:lineRule="auto"/>
      <w:contextualSpacing/>
      <w:textAlignment w:val="auto"/>
    </w:pPr>
    <w:rPr>
      <w:rFonts w:eastAsiaTheme="minorHAnsi" w:cstheme="minorBidi"/>
      <w:color w:val="000000" w:themeColor="text1"/>
      <w:szCs w:val="22"/>
      <w:lang w:eastAsia="en-US"/>
    </w:rPr>
  </w:style>
  <w:style w:type="paragraph" w:styleId="Seznamsodrkami4">
    <w:name w:val="List Bullet 4"/>
    <w:aliases w:val="Seznam s odrážkami A 4"/>
    <w:basedOn w:val="Normln"/>
    <w:uiPriority w:val="10"/>
    <w:qFormat/>
    <w:rsid w:val="00682587"/>
    <w:pPr>
      <w:numPr>
        <w:ilvl w:val="3"/>
        <w:numId w:val="10"/>
      </w:numPr>
      <w:overflowPunct/>
      <w:autoSpaceDE/>
      <w:autoSpaceDN/>
      <w:adjustRightInd/>
      <w:spacing w:after="0" w:line="293" w:lineRule="auto"/>
      <w:contextualSpacing/>
      <w:textAlignment w:val="auto"/>
    </w:pPr>
    <w:rPr>
      <w:rFonts w:eastAsiaTheme="minorHAnsi" w:cstheme="minorBidi"/>
      <w:color w:val="000000" w:themeColor="text1"/>
      <w:szCs w:val="22"/>
      <w:lang w:eastAsia="en-US"/>
    </w:rPr>
  </w:style>
  <w:style w:type="paragraph" w:styleId="Seznamsodrkami5">
    <w:name w:val="List Bullet 5"/>
    <w:aliases w:val="Seznam s odrážkami A 5"/>
    <w:basedOn w:val="Normln"/>
    <w:uiPriority w:val="10"/>
    <w:qFormat/>
    <w:rsid w:val="00682587"/>
    <w:pPr>
      <w:numPr>
        <w:ilvl w:val="4"/>
        <w:numId w:val="10"/>
      </w:numPr>
      <w:overflowPunct/>
      <w:autoSpaceDE/>
      <w:autoSpaceDN/>
      <w:adjustRightInd/>
      <w:spacing w:after="0" w:line="293" w:lineRule="auto"/>
      <w:textAlignment w:val="auto"/>
    </w:pPr>
    <w:rPr>
      <w:rFonts w:eastAsiaTheme="minorHAnsi" w:cstheme="minorBidi"/>
      <w:color w:val="000000" w:themeColor="text1"/>
      <w:szCs w:val="22"/>
      <w:lang w:eastAsia="en-US"/>
    </w:rPr>
  </w:style>
  <w:style w:type="paragraph" w:styleId="Seznamsodrkami">
    <w:name w:val="List Bullet"/>
    <w:aliases w:val="Seznam s odrážkami A"/>
    <w:basedOn w:val="Normln"/>
    <w:uiPriority w:val="10"/>
    <w:qFormat/>
    <w:rsid w:val="00682587"/>
    <w:pPr>
      <w:numPr>
        <w:numId w:val="10"/>
      </w:numPr>
      <w:overflowPunct/>
      <w:autoSpaceDE/>
      <w:autoSpaceDN/>
      <w:adjustRightInd/>
      <w:spacing w:after="0" w:line="293" w:lineRule="auto"/>
      <w:contextualSpacing/>
      <w:textAlignment w:val="auto"/>
    </w:pPr>
    <w:rPr>
      <w:rFonts w:eastAsiaTheme="minorHAnsi" w:cstheme="minorBidi"/>
      <w:color w:val="000000" w:themeColor="text1"/>
      <w:szCs w:val="22"/>
      <w:lang w:eastAsia="en-US"/>
    </w:rPr>
  </w:style>
  <w:style w:type="paragraph" w:styleId="Seznamsodrkami2">
    <w:name w:val="List Bullet 2"/>
    <w:aliases w:val="Seznam s odrážkami A 2"/>
    <w:basedOn w:val="Normln"/>
    <w:uiPriority w:val="10"/>
    <w:qFormat/>
    <w:rsid w:val="00682587"/>
    <w:pPr>
      <w:numPr>
        <w:ilvl w:val="1"/>
        <w:numId w:val="10"/>
      </w:numPr>
      <w:overflowPunct/>
      <w:autoSpaceDE/>
      <w:autoSpaceDN/>
      <w:adjustRightInd/>
      <w:spacing w:after="0" w:line="293" w:lineRule="auto"/>
      <w:contextualSpacing/>
      <w:textAlignment w:val="auto"/>
    </w:pPr>
    <w:rPr>
      <w:rFonts w:eastAsiaTheme="minorHAnsi" w:cstheme="minorBidi"/>
      <w:color w:val="000000" w:themeColor="text1"/>
      <w:szCs w:val="22"/>
      <w:lang w:eastAsia="en-US"/>
    </w:rPr>
  </w:style>
  <w:style w:type="paragraph" w:customStyle="1" w:styleId="Nadpis1-mimoobsah">
    <w:name w:val="Nadpis 1 - mimo obsah"/>
    <w:basedOn w:val="Normln"/>
    <w:next w:val="Normln"/>
    <w:uiPriority w:val="8"/>
    <w:qFormat/>
    <w:rsid w:val="00682587"/>
    <w:pPr>
      <w:keepNext/>
      <w:keepLines/>
      <w:overflowPunct/>
      <w:autoSpaceDE/>
      <w:autoSpaceDN/>
      <w:adjustRightInd/>
      <w:spacing w:before="160" w:after="0" w:line="293" w:lineRule="auto"/>
      <w:textAlignment w:val="auto"/>
    </w:pPr>
    <w:rPr>
      <w:rFonts w:asciiTheme="majorHAnsi" w:eastAsiaTheme="minorHAnsi" w:hAnsiTheme="majorHAnsi" w:cstheme="minorBidi"/>
      <w:b/>
      <w:color w:val="000000" w:themeColor="text1"/>
      <w:sz w:val="28"/>
      <w:szCs w:val="22"/>
      <w:lang w:eastAsia="en-US"/>
    </w:rPr>
  </w:style>
  <w:style w:type="paragraph" w:customStyle="1" w:styleId="Nadpis2-mimoobsah">
    <w:name w:val="Nadpis 2 - mimo obsah"/>
    <w:basedOn w:val="Normln"/>
    <w:next w:val="Normln"/>
    <w:uiPriority w:val="8"/>
    <w:qFormat/>
    <w:rsid w:val="00682587"/>
    <w:pPr>
      <w:keepNext/>
      <w:keepLines/>
      <w:overflowPunct/>
      <w:autoSpaceDE/>
      <w:autoSpaceDN/>
      <w:adjustRightInd/>
      <w:spacing w:before="80" w:after="0" w:line="293" w:lineRule="auto"/>
      <w:textAlignment w:val="auto"/>
    </w:pPr>
    <w:rPr>
      <w:rFonts w:asciiTheme="majorHAnsi" w:eastAsiaTheme="minorHAnsi" w:hAnsiTheme="majorHAnsi" w:cstheme="minorBidi"/>
      <w:b/>
      <w:color w:val="000000" w:themeColor="text1"/>
      <w:sz w:val="26"/>
      <w:szCs w:val="22"/>
      <w:lang w:eastAsia="en-US"/>
    </w:rPr>
  </w:style>
  <w:style w:type="paragraph" w:customStyle="1" w:styleId="Nadpis3-mimoobsah">
    <w:name w:val="Nadpis 3 - mimo obsah"/>
    <w:basedOn w:val="Normln"/>
    <w:next w:val="Normln"/>
    <w:uiPriority w:val="8"/>
    <w:qFormat/>
    <w:rsid w:val="00682587"/>
    <w:pPr>
      <w:keepNext/>
      <w:keepLines/>
      <w:overflowPunct/>
      <w:autoSpaceDE/>
      <w:autoSpaceDN/>
      <w:adjustRightInd/>
      <w:spacing w:before="40" w:after="0" w:line="293" w:lineRule="auto"/>
      <w:textAlignment w:val="auto"/>
    </w:pPr>
    <w:rPr>
      <w:rFonts w:asciiTheme="majorHAnsi" w:eastAsiaTheme="minorHAnsi" w:hAnsiTheme="majorHAnsi" w:cstheme="minorBidi"/>
      <w:b/>
      <w:color w:val="000000" w:themeColor="text1"/>
      <w:sz w:val="24"/>
      <w:szCs w:val="22"/>
      <w:lang w:eastAsia="en-US"/>
    </w:rPr>
  </w:style>
  <w:style w:type="paragraph" w:customStyle="1" w:styleId="Nadpis4-mimoobsah">
    <w:name w:val="Nadpis 4 - mimo obsah"/>
    <w:basedOn w:val="Normln"/>
    <w:next w:val="Normln"/>
    <w:uiPriority w:val="8"/>
    <w:qFormat/>
    <w:rsid w:val="00682587"/>
    <w:pPr>
      <w:keepNext/>
      <w:keepLines/>
      <w:overflowPunct/>
      <w:autoSpaceDE/>
      <w:autoSpaceDN/>
      <w:adjustRightInd/>
      <w:spacing w:before="40" w:after="0" w:line="293" w:lineRule="auto"/>
      <w:textAlignment w:val="auto"/>
    </w:pPr>
    <w:rPr>
      <w:rFonts w:asciiTheme="majorHAnsi" w:eastAsiaTheme="minorHAnsi" w:hAnsiTheme="majorHAnsi" w:cstheme="minorBidi"/>
      <w:i/>
      <w:color w:val="000000" w:themeColor="text1"/>
      <w:sz w:val="24"/>
      <w:szCs w:val="22"/>
      <w:lang w:eastAsia="en-US"/>
    </w:rPr>
  </w:style>
  <w:style w:type="paragraph" w:customStyle="1" w:styleId="Nadpis5-mimoobsah">
    <w:name w:val="Nadpis 5 - mimo obsah"/>
    <w:basedOn w:val="Normln"/>
    <w:next w:val="Normln"/>
    <w:uiPriority w:val="8"/>
    <w:qFormat/>
    <w:rsid w:val="00682587"/>
    <w:pPr>
      <w:keepNext/>
      <w:keepLines/>
      <w:overflowPunct/>
      <w:autoSpaceDE/>
      <w:autoSpaceDN/>
      <w:adjustRightInd/>
      <w:spacing w:before="40" w:after="0" w:line="293" w:lineRule="auto"/>
      <w:textAlignment w:val="auto"/>
    </w:pPr>
    <w:rPr>
      <w:rFonts w:asciiTheme="majorHAnsi" w:eastAsiaTheme="minorHAnsi" w:hAnsiTheme="majorHAnsi" w:cstheme="minorBidi"/>
      <w:b/>
      <w:color w:val="000000" w:themeColor="text1"/>
      <w:szCs w:val="22"/>
      <w:lang w:eastAsia="en-US"/>
    </w:rPr>
  </w:style>
  <w:style w:type="paragraph" w:customStyle="1" w:styleId="Nadpis7mimoobsah">
    <w:name w:val="Nadpis 7 mimo obsah"/>
    <w:basedOn w:val="Normln"/>
    <w:next w:val="Normln"/>
    <w:uiPriority w:val="8"/>
    <w:qFormat/>
    <w:rsid w:val="00682587"/>
    <w:pPr>
      <w:keepNext/>
      <w:keepLines/>
      <w:overflowPunct/>
      <w:autoSpaceDE/>
      <w:autoSpaceDN/>
      <w:adjustRightInd/>
      <w:spacing w:before="40" w:after="0" w:line="293" w:lineRule="auto"/>
      <w:textAlignment w:val="auto"/>
    </w:pPr>
    <w:rPr>
      <w:rFonts w:asciiTheme="majorHAnsi" w:eastAsiaTheme="minorHAnsi" w:hAnsiTheme="majorHAnsi" w:cstheme="minorBidi"/>
      <w:color w:val="000000" w:themeColor="text1"/>
      <w:szCs w:val="22"/>
      <w:lang w:eastAsia="en-US"/>
    </w:rPr>
  </w:style>
  <w:style w:type="paragraph" w:customStyle="1" w:styleId="Nadpis6mimoobsah">
    <w:name w:val="Nadpis 6 mimo obsah"/>
    <w:basedOn w:val="Normln"/>
    <w:next w:val="Normln"/>
    <w:uiPriority w:val="8"/>
    <w:qFormat/>
    <w:rsid w:val="00682587"/>
    <w:pPr>
      <w:keepNext/>
      <w:keepLines/>
      <w:overflowPunct/>
      <w:autoSpaceDE/>
      <w:autoSpaceDN/>
      <w:adjustRightInd/>
      <w:spacing w:before="40" w:after="0" w:line="293" w:lineRule="auto"/>
      <w:textAlignment w:val="auto"/>
    </w:pPr>
    <w:rPr>
      <w:rFonts w:asciiTheme="majorHAnsi" w:eastAsiaTheme="minorHAnsi" w:hAnsiTheme="majorHAnsi" w:cstheme="minorBidi"/>
      <w:i/>
      <w:color w:val="000000" w:themeColor="text1"/>
      <w:szCs w:val="22"/>
      <w:lang w:eastAsia="en-US"/>
    </w:rPr>
  </w:style>
  <w:style w:type="paragraph" w:customStyle="1" w:styleId="Nadpis8mimoobsah">
    <w:name w:val="Nadpis 8 mimo obsah"/>
    <w:basedOn w:val="Normln"/>
    <w:next w:val="Normln"/>
    <w:uiPriority w:val="8"/>
    <w:qFormat/>
    <w:rsid w:val="00682587"/>
    <w:pPr>
      <w:keepNext/>
      <w:keepLines/>
      <w:overflowPunct/>
      <w:autoSpaceDE/>
      <w:autoSpaceDN/>
      <w:adjustRightInd/>
      <w:spacing w:before="40" w:after="0" w:line="293" w:lineRule="auto"/>
      <w:textAlignment w:val="auto"/>
    </w:pPr>
    <w:rPr>
      <w:rFonts w:asciiTheme="majorHAnsi" w:eastAsiaTheme="minorHAnsi" w:hAnsiTheme="majorHAnsi" w:cstheme="minorBidi"/>
      <w:b/>
      <w:color w:val="000000" w:themeColor="text1"/>
      <w:sz w:val="21"/>
      <w:szCs w:val="21"/>
      <w:lang w:eastAsia="en-US"/>
    </w:rPr>
  </w:style>
  <w:style w:type="paragraph" w:customStyle="1" w:styleId="Nadpis9mimoobsah">
    <w:name w:val="Nadpis 9 mimo obsah"/>
    <w:basedOn w:val="Normln"/>
    <w:next w:val="Normln"/>
    <w:uiPriority w:val="8"/>
    <w:qFormat/>
    <w:rsid w:val="00682587"/>
    <w:pPr>
      <w:keepNext/>
      <w:keepLines/>
      <w:overflowPunct/>
      <w:autoSpaceDE/>
      <w:autoSpaceDN/>
      <w:adjustRightInd/>
      <w:spacing w:before="40" w:after="0" w:line="293" w:lineRule="auto"/>
      <w:textAlignment w:val="auto"/>
    </w:pPr>
    <w:rPr>
      <w:rFonts w:asciiTheme="majorHAnsi" w:eastAsiaTheme="minorHAnsi" w:hAnsiTheme="majorHAnsi" w:cstheme="minorBidi"/>
      <w:i/>
      <w:color w:val="000000" w:themeColor="text1"/>
      <w:sz w:val="21"/>
      <w:szCs w:val="21"/>
      <w:lang w:eastAsia="en-US"/>
    </w:rPr>
  </w:style>
  <w:style w:type="paragraph" w:styleId="Podtitul">
    <w:name w:val="Subtitle"/>
    <w:basedOn w:val="Normln"/>
    <w:next w:val="Normln"/>
    <w:link w:val="PodtitulChar"/>
    <w:uiPriority w:val="5"/>
    <w:qFormat/>
    <w:rsid w:val="00682587"/>
    <w:pPr>
      <w:numPr>
        <w:ilvl w:val="1"/>
      </w:numPr>
      <w:overflowPunct/>
      <w:autoSpaceDE/>
      <w:autoSpaceDN/>
      <w:adjustRightInd/>
      <w:spacing w:line="293" w:lineRule="auto"/>
      <w:textAlignment w:val="auto"/>
    </w:pPr>
    <w:rPr>
      <w:rFonts w:eastAsiaTheme="minorEastAsia" w:cstheme="minorBidi"/>
      <w:color w:val="595959" w:themeColor="text1" w:themeTint="A6"/>
      <w:spacing w:val="15"/>
      <w:sz w:val="28"/>
      <w:szCs w:val="22"/>
      <w:lang w:eastAsia="en-US"/>
    </w:rPr>
  </w:style>
  <w:style w:type="character" w:customStyle="1" w:styleId="PodtitulChar">
    <w:name w:val="Podtitul Char"/>
    <w:basedOn w:val="Standardnpsmoodstavce"/>
    <w:link w:val="Podtitul"/>
    <w:uiPriority w:val="5"/>
    <w:rsid w:val="00682587"/>
    <w:rPr>
      <w:rFonts w:asciiTheme="minorHAnsi" w:eastAsiaTheme="minorEastAsia" w:hAnsiTheme="minorHAnsi" w:cstheme="minorBidi"/>
      <w:color w:val="595959" w:themeColor="text1" w:themeTint="A6"/>
      <w:spacing w:val="15"/>
      <w:sz w:val="28"/>
      <w:szCs w:val="22"/>
      <w:lang w:eastAsia="en-US"/>
    </w:rPr>
  </w:style>
  <w:style w:type="paragraph" w:styleId="Obsah1">
    <w:name w:val="toc 1"/>
    <w:basedOn w:val="Normln"/>
    <w:next w:val="Normln"/>
    <w:autoRedefine/>
    <w:uiPriority w:val="39"/>
    <w:unhideWhenUsed/>
    <w:rsid w:val="00E32A4B"/>
    <w:pPr>
      <w:tabs>
        <w:tab w:val="left" w:pos="426"/>
        <w:tab w:val="right" w:leader="dot" w:pos="9062"/>
      </w:tabs>
      <w:overflowPunct/>
      <w:autoSpaceDE/>
      <w:autoSpaceDN/>
      <w:adjustRightInd/>
      <w:spacing w:after="100" w:line="293" w:lineRule="auto"/>
      <w:ind w:left="426" w:hanging="426"/>
      <w:textAlignment w:val="auto"/>
    </w:pPr>
    <w:rPr>
      <w:rFonts w:eastAsiaTheme="minorHAnsi" w:cstheme="minorBidi"/>
      <w:color w:val="000000" w:themeColor="text1"/>
      <w:szCs w:val="22"/>
      <w:lang w:eastAsia="en-US"/>
    </w:rPr>
  </w:style>
  <w:style w:type="paragraph" w:styleId="Obsah2">
    <w:name w:val="toc 2"/>
    <w:basedOn w:val="Normln"/>
    <w:next w:val="Normln"/>
    <w:autoRedefine/>
    <w:uiPriority w:val="39"/>
    <w:unhideWhenUsed/>
    <w:rsid w:val="00682587"/>
    <w:pPr>
      <w:overflowPunct/>
      <w:autoSpaceDE/>
      <w:autoSpaceDN/>
      <w:adjustRightInd/>
      <w:spacing w:after="100" w:line="293" w:lineRule="auto"/>
      <w:ind w:left="220"/>
      <w:textAlignment w:val="auto"/>
    </w:pPr>
    <w:rPr>
      <w:rFonts w:eastAsiaTheme="minorHAnsi" w:cstheme="minorBidi"/>
      <w:color w:val="000000" w:themeColor="text1"/>
      <w:szCs w:val="22"/>
      <w:lang w:eastAsia="en-US"/>
    </w:rPr>
  </w:style>
  <w:style w:type="paragraph" w:styleId="Obsah3">
    <w:name w:val="toc 3"/>
    <w:basedOn w:val="Normln"/>
    <w:next w:val="Normln"/>
    <w:autoRedefine/>
    <w:uiPriority w:val="39"/>
    <w:unhideWhenUsed/>
    <w:rsid w:val="00682587"/>
    <w:pPr>
      <w:overflowPunct/>
      <w:autoSpaceDE/>
      <w:autoSpaceDN/>
      <w:adjustRightInd/>
      <w:spacing w:after="100" w:line="293" w:lineRule="auto"/>
      <w:ind w:left="440"/>
      <w:textAlignment w:val="auto"/>
    </w:pPr>
    <w:rPr>
      <w:rFonts w:eastAsiaTheme="minorHAnsi" w:cstheme="minorBidi"/>
      <w:color w:val="000000" w:themeColor="text1"/>
      <w:szCs w:val="22"/>
      <w:lang w:eastAsia="en-US"/>
    </w:rPr>
  </w:style>
  <w:style w:type="paragraph" w:styleId="Obsah4">
    <w:name w:val="toc 4"/>
    <w:basedOn w:val="Normln"/>
    <w:next w:val="Normln"/>
    <w:autoRedefine/>
    <w:uiPriority w:val="39"/>
    <w:unhideWhenUsed/>
    <w:rsid w:val="00682587"/>
    <w:pPr>
      <w:overflowPunct/>
      <w:autoSpaceDE/>
      <w:autoSpaceDN/>
      <w:adjustRightInd/>
      <w:spacing w:after="100" w:line="293" w:lineRule="auto"/>
      <w:ind w:left="660"/>
      <w:textAlignment w:val="auto"/>
    </w:pPr>
    <w:rPr>
      <w:rFonts w:eastAsiaTheme="minorHAnsi" w:cstheme="minorBidi"/>
      <w:color w:val="000000" w:themeColor="text1"/>
      <w:szCs w:val="22"/>
      <w:lang w:eastAsia="en-US"/>
    </w:rPr>
  </w:style>
  <w:style w:type="paragraph" w:styleId="Obsah5">
    <w:name w:val="toc 5"/>
    <w:basedOn w:val="Normln"/>
    <w:next w:val="Normln"/>
    <w:autoRedefine/>
    <w:uiPriority w:val="39"/>
    <w:unhideWhenUsed/>
    <w:rsid w:val="00682587"/>
    <w:pPr>
      <w:overflowPunct/>
      <w:autoSpaceDE/>
      <w:autoSpaceDN/>
      <w:adjustRightInd/>
      <w:spacing w:after="100" w:line="293" w:lineRule="auto"/>
      <w:ind w:left="880"/>
      <w:textAlignment w:val="auto"/>
    </w:pPr>
    <w:rPr>
      <w:rFonts w:eastAsiaTheme="minorHAnsi" w:cstheme="minorBidi"/>
      <w:color w:val="000000" w:themeColor="text1"/>
      <w:szCs w:val="22"/>
      <w:lang w:eastAsia="en-US"/>
    </w:rPr>
  </w:style>
  <w:style w:type="paragraph" w:styleId="Obsah6">
    <w:name w:val="toc 6"/>
    <w:basedOn w:val="Normln"/>
    <w:next w:val="Normln"/>
    <w:autoRedefine/>
    <w:uiPriority w:val="39"/>
    <w:unhideWhenUsed/>
    <w:rsid w:val="00682587"/>
    <w:pPr>
      <w:overflowPunct/>
      <w:autoSpaceDE/>
      <w:autoSpaceDN/>
      <w:adjustRightInd/>
      <w:spacing w:after="100" w:line="293" w:lineRule="auto"/>
      <w:ind w:left="1100"/>
      <w:textAlignment w:val="auto"/>
    </w:pPr>
    <w:rPr>
      <w:rFonts w:eastAsiaTheme="minorHAnsi" w:cstheme="minorBidi"/>
      <w:color w:val="000000" w:themeColor="text1"/>
      <w:szCs w:val="22"/>
      <w:lang w:eastAsia="en-US"/>
    </w:rPr>
  </w:style>
  <w:style w:type="paragraph" w:styleId="Obsah7">
    <w:name w:val="toc 7"/>
    <w:basedOn w:val="Normln"/>
    <w:next w:val="Normln"/>
    <w:autoRedefine/>
    <w:uiPriority w:val="39"/>
    <w:unhideWhenUsed/>
    <w:rsid w:val="00682587"/>
    <w:pPr>
      <w:overflowPunct/>
      <w:autoSpaceDE/>
      <w:autoSpaceDN/>
      <w:adjustRightInd/>
      <w:spacing w:after="100" w:line="293" w:lineRule="auto"/>
      <w:ind w:left="1320"/>
      <w:textAlignment w:val="auto"/>
    </w:pPr>
    <w:rPr>
      <w:rFonts w:eastAsiaTheme="minorHAnsi" w:cstheme="minorBidi"/>
      <w:color w:val="000000" w:themeColor="text1"/>
      <w:szCs w:val="22"/>
      <w:lang w:eastAsia="en-US"/>
    </w:rPr>
  </w:style>
  <w:style w:type="paragraph" w:styleId="Obsah8">
    <w:name w:val="toc 8"/>
    <w:basedOn w:val="Normln"/>
    <w:next w:val="Normln"/>
    <w:autoRedefine/>
    <w:uiPriority w:val="39"/>
    <w:unhideWhenUsed/>
    <w:rsid w:val="00682587"/>
    <w:pPr>
      <w:overflowPunct/>
      <w:autoSpaceDE/>
      <w:autoSpaceDN/>
      <w:adjustRightInd/>
      <w:spacing w:after="100" w:line="293" w:lineRule="auto"/>
      <w:ind w:left="1540"/>
      <w:textAlignment w:val="auto"/>
    </w:pPr>
    <w:rPr>
      <w:rFonts w:eastAsiaTheme="minorHAnsi" w:cstheme="minorBidi"/>
      <w:color w:val="000000" w:themeColor="text1"/>
      <w:szCs w:val="22"/>
      <w:lang w:eastAsia="en-US"/>
    </w:rPr>
  </w:style>
  <w:style w:type="paragraph" w:styleId="Obsah9">
    <w:name w:val="toc 9"/>
    <w:basedOn w:val="Normln"/>
    <w:next w:val="Normln"/>
    <w:autoRedefine/>
    <w:uiPriority w:val="39"/>
    <w:unhideWhenUsed/>
    <w:rsid w:val="00682587"/>
    <w:pPr>
      <w:overflowPunct/>
      <w:autoSpaceDE/>
      <w:autoSpaceDN/>
      <w:adjustRightInd/>
      <w:spacing w:after="100" w:line="293" w:lineRule="auto"/>
      <w:ind w:left="1760"/>
      <w:textAlignment w:val="auto"/>
    </w:pPr>
    <w:rPr>
      <w:rFonts w:eastAsiaTheme="minorHAnsi" w:cstheme="minorBidi"/>
      <w:color w:val="000000" w:themeColor="text1"/>
      <w:szCs w:val="22"/>
      <w:lang w:eastAsia="en-US"/>
    </w:rPr>
  </w:style>
  <w:style w:type="character" w:styleId="Zdraznnjemn">
    <w:name w:val="Subtle Emphasis"/>
    <w:basedOn w:val="Standardnpsmoodstavce"/>
    <w:uiPriority w:val="19"/>
    <w:qFormat/>
    <w:rsid w:val="00682587"/>
    <w:rPr>
      <w:i/>
      <w:iCs/>
      <w:color w:val="595959" w:themeColor="text1" w:themeTint="A6"/>
    </w:rPr>
  </w:style>
  <w:style w:type="character" w:styleId="Odkazjemn">
    <w:name w:val="Subtle Reference"/>
    <w:basedOn w:val="Standardnpsmoodstavce"/>
    <w:uiPriority w:val="23"/>
    <w:qFormat/>
    <w:rsid w:val="00682587"/>
    <w:rPr>
      <w:smallCaps/>
      <w:color w:val="5A5A5A" w:themeColor="text1" w:themeTint="A5"/>
    </w:rPr>
  </w:style>
  <w:style w:type="paragraph" w:styleId="Citt">
    <w:name w:val="Quote"/>
    <w:basedOn w:val="Normln"/>
    <w:next w:val="Normln"/>
    <w:link w:val="CittChar"/>
    <w:uiPriority w:val="27"/>
    <w:qFormat/>
    <w:rsid w:val="00682587"/>
    <w:pPr>
      <w:keepLines/>
      <w:overflowPunct/>
      <w:autoSpaceDE/>
      <w:autoSpaceDN/>
      <w:adjustRightInd/>
      <w:spacing w:before="240" w:line="293" w:lineRule="auto"/>
      <w:ind w:left="357" w:right="357"/>
      <w:textAlignment w:val="auto"/>
    </w:pPr>
    <w:rPr>
      <w:rFonts w:eastAsiaTheme="minorHAnsi" w:cstheme="minorBidi"/>
      <w:i/>
      <w:iCs/>
      <w:color w:val="595959" w:themeColor="text1" w:themeTint="A6"/>
      <w:szCs w:val="22"/>
      <w:lang w:eastAsia="en-US"/>
    </w:rPr>
  </w:style>
  <w:style w:type="character" w:customStyle="1" w:styleId="CittChar">
    <w:name w:val="Citát Char"/>
    <w:basedOn w:val="Standardnpsmoodstavce"/>
    <w:link w:val="Citt"/>
    <w:uiPriority w:val="27"/>
    <w:rsid w:val="00682587"/>
    <w:rPr>
      <w:rFonts w:asciiTheme="minorHAnsi" w:eastAsiaTheme="minorHAnsi" w:hAnsiTheme="minorHAnsi" w:cstheme="minorBidi"/>
      <w:i/>
      <w:iCs/>
      <w:color w:val="595959" w:themeColor="text1" w:themeTint="A6"/>
      <w:sz w:val="22"/>
      <w:szCs w:val="22"/>
      <w:lang w:eastAsia="en-US"/>
    </w:rPr>
  </w:style>
  <w:style w:type="character" w:styleId="Zvraznn">
    <w:name w:val="Emphasis"/>
    <w:basedOn w:val="Standardnpsmoodstavce"/>
    <w:uiPriority w:val="20"/>
    <w:qFormat/>
    <w:rsid w:val="00682587"/>
    <w:rPr>
      <w:i/>
      <w:iCs/>
    </w:rPr>
  </w:style>
  <w:style w:type="paragraph" w:styleId="Nadpisobsahu">
    <w:name w:val="TOC Heading"/>
    <w:basedOn w:val="Nadpis1-mimoobsah"/>
    <w:next w:val="Normln"/>
    <w:uiPriority w:val="39"/>
    <w:unhideWhenUsed/>
    <w:qFormat/>
    <w:rsid w:val="00682587"/>
  </w:style>
  <w:style w:type="paragraph" w:styleId="Datum">
    <w:name w:val="Date"/>
    <w:basedOn w:val="Normln"/>
    <w:next w:val="Normln"/>
    <w:link w:val="DatumChar"/>
    <w:uiPriority w:val="31"/>
    <w:unhideWhenUsed/>
    <w:rsid w:val="00682587"/>
    <w:pPr>
      <w:overflowPunct/>
      <w:autoSpaceDE/>
      <w:autoSpaceDN/>
      <w:adjustRightInd/>
      <w:spacing w:line="293" w:lineRule="auto"/>
      <w:textAlignment w:val="auto"/>
    </w:pPr>
    <w:rPr>
      <w:rFonts w:eastAsiaTheme="minorHAnsi" w:cstheme="minorBidi"/>
      <w:color w:val="000000" w:themeColor="text1"/>
      <w:szCs w:val="22"/>
      <w:lang w:eastAsia="en-US"/>
    </w:rPr>
  </w:style>
  <w:style w:type="character" w:customStyle="1" w:styleId="DatumChar">
    <w:name w:val="Datum Char"/>
    <w:basedOn w:val="Standardnpsmoodstavce"/>
    <w:link w:val="Datum"/>
    <w:uiPriority w:val="31"/>
    <w:rsid w:val="00682587"/>
    <w:rPr>
      <w:rFonts w:asciiTheme="minorHAnsi" w:eastAsiaTheme="minorHAnsi" w:hAnsiTheme="minorHAnsi" w:cstheme="minorBidi"/>
      <w:color w:val="000000" w:themeColor="text1"/>
      <w:sz w:val="22"/>
      <w:szCs w:val="22"/>
      <w:lang w:eastAsia="en-US"/>
    </w:rPr>
  </w:style>
  <w:style w:type="paragraph" w:styleId="Textvbloku">
    <w:name w:val="Block Text"/>
    <w:basedOn w:val="Normln"/>
    <w:uiPriority w:val="29"/>
    <w:unhideWhenUsed/>
    <w:rsid w:val="00682587"/>
    <w:pPr>
      <w:pBdr>
        <w:top w:val="single" w:sz="2" w:space="10" w:color="000000" w:themeColor="text1"/>
        <w:left w:val="single" w:sz="2" w:space="10" w:color="000000" w:themeColor="text1"/>
        <w:bottom w:val="single" w:sz="2" w:space="10" w:color="000000" w:themeColor="text1"/>
        <w:right w:val="single" w:sz="2" w:space="10" w:color="000000" w:themeColor="text1"/>
      </w:pBdr>
      <w:overflowPunct/>
      <w:autoSpaceDE/>
      <w:autoSpaceDN/>
      <w:adjustRightInd/>
      <w:spacing w:line="293" w:lineRule="auto"/>
      <w:ind w:left="357" w:right="357"/>
      <w:textAlignment w:val="auto"/>
    </w:pPr>
    <w:rPr>
      <w:rFonts w:eastAsiaTheme="minorEastAsia" w:cstheme="minorBidi"/>
      <w:i/>
      <w:iCs/>
      <w:color w:val="000000" w:themeColor="text1"/>
      <w:szCs w:val="22"/>
      <w:lang w:eastAsia="en-US"/>
    </w:rPr>
  </w:style>
  <w:style w:type="paragraph" w:styleId="Zkladntext">
    <w:name w:val="Body Text"/>
    <w:basedOn w:val="Normln"/>
    <w:link w:val="ZkladntextChar"/>
    <w:uiPriority w:val="1"/>
    <w:rsid w:val="00682587"/>
    <w:pPr>
      <w:overflowPunct/>
      <w:autoSpaceDE/>
      <w:autoSpaceDN/>
      <w:adjustRightInd/>
      <w:spacing w:line="293" w:lineRule="auto"/>
      <w:textAlignment w:val="auto"/>
    </w:pPr>
    <w:rPr>
      <w:rFonts w:eastAsiaTheme="minorHAnsi" w:cstheme="minorBidi"/>
      <w:color w:val="000000" w:themeColor="text1"/>
      <w:szCs w:val="22"/>
      <w:lang w:eastAsia="en-US"/>
    </w:rPr>
  </w:style>
  <w:style w:type="character" w:customStyle="1" w:styleId="ZkladntextChar">
    <w:name w:val="Základní text Char"/>
    <w:basedOn w:val="Standardnpsmoodstavce"/>
    <w:link w:val="Zkladntext"/>
    <w:uiPriority w:val="1"/>
    <w:rsid w:val="00682587"/>
    <w:rPr>
      <w:rFonts w:asciiTheme="minorHAnsi" w:eastAsiaTheme="minorHAnsi" w:hAnsiTheme="minorHAnsi" w:cstheme="minorBidi"/>
      <w:color w:val="000000" w:themeColor="text1"/>
      <w:sz w:val="22"/>
      <w:szCs w:val="22"/>
      <w:lang w:eastAsia="en-US"/>
    </w:rPr>
  </w:style>
  <w:style w:type="paragraph" w:styleId="Zkladntext-prvnodsazen">
    <w:name w:val="Body Text First Indent"/>
    <w:basedOn w:val="Zkladntext"/>
    <w:link w:val="Zkladntext-prvnodsazenChar"/>
    <w:uiPriority w:val="1"/>
    <w:rsid w:val="00682587"/>
    <w:pPr>
      <w:ind w:firstLine="357"/>
    </w:pPr>
  </w:style>
  <w:style w:type="character" w:customStyle="1" w:styleId="Zkladntext-prvnodsazenChar">
    <w:name w:val="Základní text - první odsazený Char"/>
    <w:basedOn w:val="ZkladntextChar"/>
    <w:link w:val="Zkladntext-prvnodsazen"/>
    <w:uiPriority w:val="1"/>
    <w:rsid w:val="00682587"/>
    <w:rPr>
      <w:rFonts w:asciiTheme="minorHAnsi" w:eastAsiaTheme="minorHAnsi" w:hAnsiTheme="minorHAnsi" w:cstheme="minorBidi"/>
      <w:color w:val="000000" w:themeColor="text1"/>
      <w:sz w:val="22"/>
      <w:szCs w:val="22"/>
      <w:lang w:eastAsia="en-US"/>
    </w:rPr>
  </w:style>
  <w:style w:type="paragraph" w:styleId="Zkladntextodsazen">
    <w:name w:val="Body Text Indent"/>
    <w:basedOn w:val="Normln"/>
    <w:link w:val="ZkladntextodsazenChar"/>
    <w:uiPriority w:val="1"/>
    <w:rsid w:val="00682587"/>
    <w:pPr>
      <w:overflowPunct/>
      <w:autoSpaceDE/>
      <w:autoSpaceDN/>
      <w:adjustRightInd/>
      <w:spacing w:line="293" w:lineRule="auto"/>
      <w:ind w:left="357"/>
      <w:textAlignment w:val="auto"/>
    </w:pPr>
    <w:rPr>
      <w:rFonts w:eastAsiaTheme="minorHAnsi" w:cstheme="minorBidi"/>
      <w:color w:val="000000" w:themeColor="text1"/>
      <w:szCs w:val="22"/>
      <w:lang w:eastAsia="en-US"/>
    </w:rPr>
  </w:style>
  <w:style w:type="character" w:customStyle="1" w:styleId="ZkladntextodsazenChar">
    <w:name w:val="Základní text odsazený Char"/>
    <w:basedOn w:val="Standardnpsmoodstavce"/>
    <w:link w:val="Zkladntextodsazen"/>
    <w:uiPriority w:val="1"/>
    <w:rsid w:val="00682587"/>
    <w:rPr>
      <w:rFonts w:asciiTheme="minorHAnsi" w:eastAsiaTheme="minorHAnsi" w:hAnsiTheme="minorHAnsi" w:cstheme="minorBidi"/>
      <w:color w:val="000000" w:themeColor="text1"/>
      <w:sz w:val="22"/>
      <w:szCs w:val="22"/>
      <w:lang w:eastAsia="en-US"/>
    </w:rPr>
  </w:style>
  <w:style w:type="paragraph" w:customStyle="1" w:styleId="SeznamsodrkamiB">
    <w:name w:val="Seznam s odrážkami B"/>
    <w:basedOn w:val="Normln"/>
    <w:uiPriority w:val="11"/>
    <w:qFormat/>
    <w:rsid w:val="00682587"/>
    <w:pPr>
      <w:numPr>
        <w:numId w:val="11"/>
      </w:numPr>
      <w:overflowPunct/>
      <w:autoSpaceDE/>
      <w:autoSpaceDN/>
      <w:adjustRightInd/>
      <w:spacing w:after="0" w:line="293" w:lineRule="auto"/>
      <w:textAlignment w:val="auto"/>
    </w:pPr>
    <w:rPr>
      <w:rFonts w:eastAsiaTheme="minorHAnsi" w:cstheme="minorBidi"/>
      <w:color w:val="000000" w:themeColor="text1"/>
      <w:szCs w:val="22"/>
      <w:lang w:eastAsia="en-US"/>
    </w:rPr>
  </w:style>
  <w:style w:type="paragraph" w:customStyle="1" w:styleId="SeznamsodrkamiB2">
    <w:name w:val="Seznam s odrážkami B 2"/>
    <w:basedOn w:val="Normln"/>
    <w:uiPriority w:val="11"/>
    <w:qFormat/>
    <w:rsid w:val="00682587"/>
    <w:pPr>
      <w:numPr>
        <w:ilvl w:val="1"/>
        <w:numId w:val="11"/>
      </w:numPr>
      <w:overflowPunct/>
      <w:autoSpaceDE/>
      <w:autoSpaceDN/>
      <w:adjustRightInd/>
      <w:spacing w:after="0" w:line="293" w:lineRule="auto"/>
      <w:textAlignment w:val="auto"/>
    </w:pPr>
    <w:rPr>
      <w:rFonts w:eastAsiaTheme="minorHAnsi" w:cstheme="minorBidi"/>
      <w:color w:val="000000" w:themeColor="text1"/>
      <w:szCs w:val="22"/>
      <w:lang w:eastAsia="en-US"/>
    </w:rPr>
  </w:style>
  <w:style w:type="paragraph" w:customStyle="1" w:styleId="SeznamsodrkamiB3">
    <w:name w:val="Seznam s odrážkami B 3"/>
    <w:basedOn w:val="Normln"/>
    <w:uiPriority w:val="11"/>
    <w:qFormat/>
    <w:rsid w:val="00682587"/>
    <w:pPr>
      <w:numPr>
        <w:ilvl w:val="2"/>
        <w:numId w:val="11"/>
      </w:numPr>
      <w:overflowPunct/>
      <w:autoSpaceDE/>
      <w:autoSpaceDN/>
      <w:adjustRightInd/>
      <w:spacing w:after="0" w:line="293" w:lineRule="auto"/>
      <w:textAlignment w:val="auto"/>
    </w:pPr>
    <w:rPr>
      <w:rFonts w:eastAsiaTheme="minorHAnsi" w:cstheme="minorBidi"/>
      <w:color w:val="000000" w:themeColor="text1"/>
      <w:szCs w:val="22"/>
      <w:lang w:eastAsia="en-US"/>
    </w:rPr>
  </w:style>
  <w:style w:type="paragraph" w:customStyle="1" w:styleId="SeznamsodrkamiB4">
    <w:name w:val="Seznam s odrážkami B 4"/>
    <w:basedOn w:val="Normln"/>
    <w:uiPriority w:val="11"/>
    <w:qFormat/>
    <w:rsid w:val="00682587"/>
    <w:pPr>
      <w:numPr>
        <w:ilvl w:val="3"/>
        <w:numId w:val="11"/>
      </w:numPr>
      <w:overflowPunct/>
      <w:autoSpaceDE/>
      <w:autoSpaceDN/>
      <w:adjustRightInd/>
      <w:spacing w:after="0" w:line="293" w:lineRule="auto"/>
      <w:textAlignment w:val="auto"/>
    </w:pPr>
    <w:rPr>
      <w:rFonts w:eastAsiaTheme="minorHAnsi" w:cstheme="minorBidi"/>
      <w:color w:val="000000" w:themeColor="text1"/>
      <w:szCs w:val="22"/>
      <w:lang w:eastAsia="en-US"/>
    </w:rPr>
  </w:style>
  <w:style w:type="paragraph" w:customStyle="1" w:styleId="SeznamsodrkamiB5">
    <w:name w:val="Seznam s odrážkami B 5"/>
    <w:basedOn w:val="Normln"/>
    <w:uiPriority w:val="11"/>
    <w:qFormat/>
    <w:rsid w:val="00682587"/>
    <w:pPr>
      <w:numPr>
        <w:ilvl w:val="4"/>
        <w:numId w:val="11"/>
      </w:numPr>
      <w:overflowPunct/>
      <w:autoSpaceDE/>
      <w:autoSpaceDN/>
      <w:adjustRightInd/>
      <w:spacing w:after="0" w:line="293" w:lineRule="auto"/>
      <w:textAlignment w:val="auto"/>
    </w:pPr>
    <w:rPr>
      <w:rFonts w:eastAsiaTheme="minorHAnsi" w:cstheme="minorBidi"/>
      <w:color w:val="000000" w:themeColor="text1"/>
      <w:szCs w:val="22"/>
      <w:lang w:eastAsia="en-US"/>
    </w:rPr>
  </w:style>
  <w:style w:type="paragraph" w:styleId="Revize">
    <w:name w:val="Revision"/>
    <w:hidden/>
    <w:uiPriority w:val="99"/>
    <w:semiHidden/>
    <w:rsid w:val="00767DDD"/>
    <w:rPr>
      <w:rFonts w:asciiTheme="minorHAnsi" w:hAnsiTheme="minorHAnsi"/>
      <w:sz w:val="22"/>
    </w:rPr>
  </w:style>
  <w:style w:type="character" w:customStyle="1" w:styleId="Zkladntext2">
    <w:name w:val="Základní text (2)_"/>
    <w:basedOn w:val="Standardnpsmoodstavce"/>
    <w:link w:val="Zkladntext21"/>
    <w:uiPriority w:val="99"/>
    <w:rsid w:val="00DA3320"/>
    <w:rPr>
      <w:sz w:val="22"/>
      <w:szCs w:val="22"/>
      <w:shd w:val="clear" w:color="auto" w:fill="FFFFFF"/>
    </w:rPr>
  </w:style>
  <w:style w:type="paragraph" w:customStyle="1" w:styleId="Zkladntext21">
    <w:name w:val="Základní text (2)1"/>
    <w:basedOn w:val="Normln"/>
    <w:link w:val="Zkladntext2"/>
    <w:uiPriority w:val="99"/>
    <w:rsid w:val="00DA3320"/>
    <w:pPr>
      <w:widowControl w:val="0"/>
      <w:shd w:val="clear" w:color="auto" w:fill="FFFFFF"/>
      <w:overflowPunct/>
      <w:autoSpaceDE/>
      <w:autoSpaceDN/>
      <w:adjustRightInd/>
      <w:spacing w:after="0" w:line="270" w:lineRule="exact"/>
      <w:ind w:hanging="780"/>
      <w:jc w:val="both"/>
      <w:textAlignment w:val="auto"/>
    </w:pPr>
    <w:rPr>
      <w:rFonts w:ascii="Times New Roman" w:hAnsi="Times New Roman"/>
      <w:szCs w:val="22"/>
    </w:rPr>
  </w:style>
  <w:style w:type="character" w:customStyle="1" w:styleId="Zkladntext7">
    <w:name w:val="Základní text (7)_"/>
    <w:basedOn w:val="Standardnpsmoodstavce"/>
    <w:link w:val="Zkladntext70"/>
    <w:uiPriority w:val="99"/>
    <w:rsid w:val="00DA3320"/>
    <w:rPr>
      <w:rFonts w:ascii="Book Antiqua" w:hAnsi="Book Antiqua" w:cs="Book Antiqua"/>
      <w:i/>
      <w:iCs/>
      <w:sz w:val="22"/>
      <w:szCs w:val="22"/>
      <w:shd w:val="clear" w:color="auto" w:fill="FFFFFF"/>
    </w:rPr>
  </w:style>
  <w:style w:type="character" w:customStyle="1" w:styleId="Zkladntext212pt1">
    <w:name w:val="Základní text (2) + 12 pt1"/>
    <w:basedOn w:val="Zkladntext2"/>
    <w:uiPriority w:val="99"/>
    <w:rsid w:val="00DA3320"/>
    <w:rPr>
      <w:rFonts w:ascii="Times New Roman" w:hAnsi="Times New Roman" w:cs="Times New Roman"/>
      <w:sz w:val="24"/>
      <w:szCs w:val="24"/>
      <w:u w:val="none"/>
      <w:shd w:val="clear" w:color="auto" w:fill="FFFFFF"/>
    </w:rPr>
  </w:style>
  <w:style w:type="paragraph" w:customStyle="1" w:styleId="Zkladntext70">
    <w:name w:val="Základní text (7)"/>
    <w:basedOn w:val="Normln"/>
    <w:link w:val="Zkladntext7"/>
    <w:uiPriority w:val="99"/>
    <w:rsid w:val="00DA3320"/>
    <w:pPr>
      <w:widowControl w:val="0"/>
      <w:shd w:val="clear" w:color="auto" w:fill="FFFFFF"/>
      <w:overflowPunct/>
      <w:autoSpaceDE/>
      <w:autoSpaceDN/>
      <w:adjustRightInd/>
      <w:spacing w:after="0" w:line="240" w:lineRule="atLeast"/>
      <w:textAlignment w:val="auto"/>
    </w:pPr>
    <w:rPr>
      <w:rFonts w:ascii="Book Antiqua" w:hAnsi="Book Antiqua" w:cs="Book Antiqua"/>
      <w:i/>
      <w:i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90360">
      <w:bodyDiv w:val="1"/>
      <w:marLeft w:val="0"/>
      <w:marRight w:val="0"/>
      <w:marTop w:val="0"/>
      <w:marBottom w:val="0"/>
      <w:divBdr>
        <w:top w:val="none" w:sz="0" w:space="0" w:color="auto"/>
        <w:left w:val="none" w:sz="0" w:space="0" w:color="auto"/>
        <w:bottom w:val="none" w:sz="0" w:space="0" w:color="auto"/>
        <w:right w:val="none" w:sz="0" w:space="0" w:color="auto"/>
      </w:divBdr>
    </w:div>
    <w:div w:id="43070679">
      <w:bodyDiv w:val="1"/>
      <w:marLeft w:val="0"/>
      <w:marRight w:val="0"/>
      <w:marTop w:val="0"/>
      <w:marBottom w:val="0"/>
      <w:divBdr>
        <w:top w:val="none" w:sz="0" w:space="0" w:color="auto"/>
        <w:left w:val="none" w:sz="0" w:space="0" w:color="auto"/>
        <w:bottom w:val="none" w:sz="0" w:space="0" w:color="auto"/>
        <w:right w:val="none" w:sz="0" w:space="0" w:color="auto"/>
      </w:divBdr>
    </w:div>
    <w:div w:id="134876069">
      <w:bodyDiv w:val="1"/>
      <w:marLeft w:val="0"/>
      <w:marRight w:val="0"/>
      <w:marTop w:val="0"/>
      <w:marBottom w:val="0"/>
      <w:divBdr>
        <w:top w:val="none" w:sz="0" w:space="0" w:color="auto"/>
        <w:left w:val="none" w:sz="0" w:space="0" w:color="auto"/>
        <w:bottom w:val="none" w:sz="0" w:space="0" w:color="auto"/>
        <w:right w:val="none" w:sz="0" w:space="0" w:color="auto"/>
      </w:divBdr>
    </w:div>
    <w:div w:id="168256333">
      <w:bodyDiv w:val="1"/>
      <w:marLeft w:val="0"/>
      <w:marRight w:val="0"/>
      <w:marTop w:val="0"/>
      <w:marBottom w:val="0"/>
      <w:divBdr>
        <w:top w:val="none" w:sz="0" w:space="0" w:color="auto"/>
        <w:left w:val="none" w:sz="0" w:space="0" w:color="auto"/>
        <w:bottom w:val="none" w:sz="0" w:space="0" w:color="auto"/>
        <w:right w:val="none" w:sz="0" w:space="0" w:color="auto"/>
      </w:divBdr>
    </w:div>
    <w:div w:id="184364016">
      <w:bodyDiv w:val="1"/>
      <w:marLeft w:val="0"/>
      <w:marRight w:val="0"/>
      <w:marTop w:val="0"/>
      <w:marBottom w:val="0"/>
      <w:divBdr>
        <w:top w:val="none" w:sz="0" w:space="0" w:color="auto"/>
        <w:left w:val="none" w:sz="0" w:space="0" w:color="auto"/>
        <w:bottom w:val="none" w:sz="0" w:space="0" w:color="auto"/>
        <w:right w:val="none" w:sz="0" w:space="0" w:color="auto"/>
      </w:divBdr>
    </w:div>
    <w:div w:id="198905851">
      <w:bodyDiv w:val="1"/>
      <w:marLeft w:val="0"/>
      <w:marRight w:val="0"/>
      <w:marTop w:val="0"/>
      <w:marBottom w:val="0"/>
      <w:divBdr>
        <w:top w:val="none" w:sz="0" w:space="0" w:color="auto"/>
        <w:left w:val="none" w:sz="0" w:space="0" w:color="auto"/>
        <w:bottom w:val="none" w:sz="0" w:space="0" w:color="auto"/>
        <w:right w:val="none" w:sz="0" w:space="0" w:color="auto"/>
      </w:divBdr>
    </w:div>
    <w:div w:id="253132394">
      <w:bodyDiv w:val="1"/>
      <w:marLeft w:val="0"/>
      <w:marRight w:val="0"/>
      <w:marTop w:val="0"/>
      <w:marBottom w:val="0"/>
      <w:divBdr>
        <w:top w:val="none" w:sz="0" w:space="0" w:color="auto"/>
        <w:left w:val="none" w:sz="0" w:space="0" w:color="auto"/>
        <w:bottom w:val="none" w:sz="0" w:space="0" w:color="auto"/>
        <w:right w:val="none" w:sz="0" w:space="0" w:color="auto"/>
      </w:divBdr>
    </w:div>
    <w:div w:id="289482908">
      <w:bodyDiv w:val="1"/>
      <w:marLeft w:val="0"/>
      <w:marRight w:val="0"/>
      <w:marTop w:val="0"/>
      <w:marBottom w:val="0"/>
      <w:divBdr>
        <w:top w:val="none" w:sz="0" w:space="0" w:color="auto"/>
        <w:left w:val="none" w:sz="0" w:space="0" w:color="auto"/>
        <w:bottom w:val="none" w:sz="0" w:space="0" w:color="auto"/>
        <w:right w:val="none" w:sz="0" w:space="0" w:color="auto"/>
      </w:divBdr>
    </w:div>
    <w:div w:id="308023415">
      <w:bodyDiv w:val="1"/>
      <w:marLeft w:val="0"/>
      <w:marRight w:val="0"/>
      <w:marTop w:val="0"/>
      <w:marBottom w:val="0"/>
      <w:divBdr>
        <w:top w:val="none" w:sz="0" w:space="0" w:color="auto"/>
        <w:left w:val="none" w:sz="0" w:space="0" w:color="auto"/>
        <w:bottom w:val="none" w:sz="0" w:space="0" w:color="auto"/>
        <w:right w:val="none" w:sz="0" w:space="0" w:color="auto"/>
      </w:divBdr>
    </w:div>
    <w:div w:id="597063029">
      <w:bodyDiv w:val="1"/>
      <w:marLeft w:val="0"/>
      <w:marRight w:val="0"/>
      <w:marTop w:val="0"/>
      <w:marBottom w:val="0"/>
      <w:divBdr>
        <w:top w:val="none" w:sz="0" w:space="0" w:color="auto"/>
        <w:left w:val="none" w:sz="0" w:space="0" w:color="auto"/>
        <w:bottom w:val="none" w:sz="0" w:space="0" w:color="auto"/>
        <w:right w:val="none" w:sz="0" w:space="0" w:color="auto"/>
      </w:divBdr>
    </w:div>
    <w:div w:id="634524434">
      <w:bodyDiv w:val="1"/>
      <w:marLeft w:val="0"/>
      <w:marRight w:val="0"/>
      <w:marTop w:val="0"/>
      <w:marBottom w:val="0"/>
      <w:divBdr>
        <w:top w:val="none" w:sz="0" w:space="0" w:color="auto"/>
        <w:left w:val="none" w:sz="0" w:space="0" w:color="auto"/>
        <w:bottom w:val="none" w:sz="0" w:space="0" w:color="auto"/>
        <w:right w:val="none" w:sz="0" w:space="0" w:color="auto"/>
      </w:divBdr>
    </w:div>
    <w:div w:id="780295841">
      <w:bodyDiv w:val="1"/>
      <w:marLeft w:val="0"/>
      <w:marRight w:val="0"/>
      <w:marTop w:val="0"/>
      <w:marBottom w:val="0"/>
      <w:divBdr>
        <w:top w:val="none" w:sz="0" w:space="0" w:color="auto"/>
        <w:left w:val="none" w:sz="0" w:space="0" w:color="auto"/>
        <w:bottom w:val="none" w:sz="0" w:space="0" w:color="auto"/>
        <w:right w:val="none" w:sz="0" w:space="0" w:color="auto"/>
      </w:divBdr>
    </w:div>
    <w:div w:id="800225488">
      <w:bodyDiv w:val="1"/>
      <w:marLeft w:val="0"/>
      <w:marRight w:val="0"/>
      <w:marTop w:val="0"/>
      <w:marBottom w:val="0"/>
      <w:divBdr>
        <w:top w:val="none" w:sz="0" w:space="0" w:color="auto"/>
        <w:left w:val="none" w:sz="0" w:space="0" w:color="auto"/>
        <w:bottom w:val="none" w:sz="0" w:space="0" w:color="auto"/>
        <w:right w:val="none" w:sz="0" w:space="0" w:color="auto"/>
      </w:divBdr>
    </w:div>
    <w:div w:id="940379925">
      <w:bodyDiv w:val="1"/>
      <w:marLeft w:val="0"/>
      <w:marRight w:val="0"/>
      <w:marTop w:val="0"/>
      <w:marBottom w:val="0"/>
      <w:divBdr>
        <w:top w:val="none" w:sz="0" w:space="0" w:color="auto"/>
        <w:left w:val="none" w:sz="0" w:space="0" w:color="auto"/>
        <w:bottom w:val="none" w:sz="0" w:space="0" w:color="auto"/>
        <w:right w:val="none" w:sz="0" w:space="0" w:color="auto"/>
      </w:divBdr>
    </w:div>
    <w:div w:id="959531159">
      <w:bodyDiv w:val="1"/>
      <w:marLeft w:val="0"/>
      <w:marRight w:val="0"/>
      <w:marTop w:val="0"/>
      <w:marBottom w:val="0"/>
      <w:divBdr>
        <w:top w:val="none" w:sz="0" w:space="0" w:color="auto"/>
        <w:left w:val="none" w:sz="0" w:space="0" w:color="auto"/>
        <w:bottom w:val="none" w:sz="0" w:space="0" w:color="auto"/>
        <w:right w:val="none" w:sz="0" w:space="0" w:color="auto"/>
      </w:divBdr>
    </w:div>
    <w:div w:id="1559245737">
      <w:bodyDiv w:val="1"/>
      <w:marLeft w:val="0"/>
      <w:marRight w:val="0"/>
      <w:marTop w:val="0"/>
      <w:marBottom w:val="0"/>
      <w:divBdr>
        <w:top w:val="none" w:sz="0" w:space="0" w:color="auto"/>
        <w:left w:val="none" w:sz="0" w:space="0" w:color="auto"/>
        <w:bottom w:val="none" w:sz="0" w:space="0" w:color="auto"/>
        <w:right w:val="none" w:sz="0" w:space="0" w:color="auto"/>
      </w:divBdr>
    </w:div>
    <w:div w:id="1633905432">
      <w:bodyDiv w:val="1"/>
      <w:marLeft w:val="0"/>
      <w:marRight w:val="0"/>
      <w:marTop w:val="0"/>
      <w:marBottom w:val="0"/>
      <w:divBdr>
        <w:top w:val="none" w:sz="0" w:space="0" w:color="auto"/>
        <w:left w:val="none" w:sz="0" w:space="0" w:color="auto"/>
        <w:bottom w:val="none" w:sz="0" w:space="0" w:color="auto"/>
        <w:right w:val="none" w:sz="0" w:space="0" w:color="auto"/>
      </w:divBdr>
    </w:div>
    <w:div w:id="1634360464">
      <w:bodyDiv w:val="1"/>
      <w:marLeft w:val="0"/>
      <w:marRight w:val="0"/>
      <w:marTop w:val="0"/>
      <w:marBottom w:val="0"/>
      <w:divBdr>
        <w:top w:val="none" w:sz="0" w:space="0" w:color="auto"/>
        <w:left w:val="none" w:sz="0" w:space="0" w:color="auto"/>
        <w:bottom w:val="none" w:sz="0" w:space="0" w:color="auto"/>
        <w:right w:val="none" w:sz="0" w:space="0" w:color="auto"/>
      </w:divBdr>
    </w:div>
    <w:div w:id="1675841726">
      <w:bodyDiv w:val="1"/>
      <w:marLeft w:val="0"/>
      <w:marRight w:val="0"/>
      <w:marTop w:val="0"/>
      <w:marBottom w:val="0"/>
      <w:divBdr>
        <w:top w:val="none" w:sz="0" w:space="0" w:color="auto"/>
        <w:left w:val="none" w:sz="0" w:space="0" w:color="auto"/>
        <w:bottom w:val="none" w:sz="0" w:space="0" w:color="auto"/>
        <w:right w:val="none" w:sz="0" w:space="0" w:color="auto"/>
      </w:divBdr>
    </w:div>
    <w:div w:id="1682852620">
      <w:bodyDiv w:val="1"/>
      <w:marLeft w:val="0"/>
      <w:marRight w:val="0"/>
      <w:marTop w:val="0"/>
      <w:marBottom w:val="0"/>
      <w:divBdr>
        <w:top w:val="none" w:sz="0" w:space="0" w:color="auto"/>
        <w:left w:val="none" w:sz="0" w:space="0" w:color="auto"/>
        <w:bottom w:val="none" w:sz="0" w:space="0" w:color="auto"/>
        <w:right w:val="none" w:sz="0" w:space="0" w:color="auto"/>
      </w:divBdr>
    </w:div>
    <w:div w:id="1855261128">
      <w:bodyDiv w:val="1"/>
      <w:marLeft w:val="0"/>
      <w:marRight w:val="0"/>
      <w:marTop w:val="0"/>
      <w:marBottom w:val="0"/>
      <w:divBdr>
        <w:top w:val="none" w:sz="0" w:space="0" w:color="auto"/>
        <w:left w:val="none" w:sz="0" w:space="0" w:color="auto"/>
        <w:bottom w:val="none" w:sz="0" w:space="0" w:color="auto"/>
        <w:right w:val="none" w:sz="0" w:space="0" w:color="auto"/>
      </w:divBdr>
    </w:div>
    <w:div w:id="1875536952">
      <w:bodyDiv w:val="1"/>
      <w:marLeft w:val="0"/>
      <w:marRight w:val="0"/>
      <w:marTop w:val="0"/>
      <w:marBottom w:val="0"/>
      <w:divBdr>
        <w:top w:val="none" w:sz="0" w:space="0" w:color="auto"/>
        <w:left w:val="none" w:sz="0" w:space="0" w:color="auto"/>
        <w:bottom w:val="none" w:sz="0" w:space="0" w:color="auto"/>
        <w:right w:val="none" w:sz="0" w:space="0" w:color="auto"/>
      </w:divBdr>
    </w:div>
    <w:div w:id="1901553106">
      <w:bodyDiv w:val="1"/>
      <w:marLeft w:val="0"/>
      <w:marRight w:val="0"/>
      <w:marTop w:val="0"/>
      <w:marBottom w:val="0"/>
      <w:divBdr>
        <w:top w:val="none" w:sz="0" w:space="0" w:color="auto"/>
        <w:left w:val="none" w:sz="0" w:space="0" w:color="auto"/>
        <w:bottom w:val="none" w:sz="0" w:space="0" w:color="auto"/>
        <w:right w:val="none" w:sz="0" w:space="0" w:color="auto"/>
      </w:divBdr>
    </w:div>
    <w:div w:id="1909457302">
      <w:bodyDiv w:val="1"/>
      <w:marLeft w:val="0"/>
      <w:marRight w:val="0"/>
      <w:marTop w:val="0"/>
      <w:marBottom w:val="0"/>
      <w:divBdr>
        <w:top w:val="none" w:sz="0" w:space="0" w:color="auto"/>
        <w:left w:val="none" w:sz="0" w:space="0" w:color="auto"/>
        <w:bottom w:val="none" w:sz="0" w:space="0" w:color="auto"/>
        <w:right w:val="none" w:sz="0" w:space="0" w:color="auto"/>
      </w:divBdr>
    </w:div>
    <w:div w:id="2002544402">
      <w:bodyDiv w:val="1"/>
      <w:marLeft w:val="0"/>
      <w:marRight w:val="0"/>
      <w:marTop w:val="0"/>
      <w:marBottom w:val="0"/>
      <w:divBdr>
        <w:top w:val="none" w:sz="0" w:space="0" w:color="auto"/>
        <w:left w:val="none" w:sz="0" w:space="0" w:color="auto"/>
        <w:bottom w:val="none" w:sz="0" w:space="0" w:color="auto"/>
        <w:right w:val="none" w:sz="0" w:space="0" w:color="auto"/>
      </w:divBdr>
    </w:div>
    <w:div w:id="20985499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hyperlink" Target="http://www.uohs.cz/download/Sekce_VP/VP_update/Prirucka-k-pojmu-jeden-podnik_rev-4-12-2014.pdf" TargetMode="Externa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emf"/><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200" b="1" i="0" baseline="0">
                <a:effectLst/>
              </a:rPr>
              <a:t>Celkový počet registrovaných zdrojů OZE a počet zdrojů OZE v mechanismu kontroly přiměřenosti podpory</a:t>
            </a:r>
            <a:endParaRPr lang="cs-CZ" sz="1200" b="1">
              <a:effectLst/>
            </a:endParaRP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Lbl>
              <c:idx val="0"/>
              <c:tx>
                <c:rich>
                  <a:bodyPr/>
                  <a:lstStyle/>
                  <a:p>
                    <a:r>
                      <a:rPr lang="en-US"/>
                      <a:t>31 025 ks  (100 %)</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5B1-4B20-A41B-E154ECB1D297}"/>
                </c:ext>
                <c:ext xmlns:c15="http://schemas.microsoft.com/office/drawing/2012/chart" uri="{CE6537A1-D6FC-4f65-9D91-7224C49458BB}"/>
              </c:extLst>
            </c:dLbl>
            <c:dLbl>
              <c:idx val="1"/>
              <c:tx>
                <c:rich>
                  <a:bodyPr/>
                  <a:lstStyle/>
                  <a:p>
                    <a:r>
                      <a:rPr lang="en-US"/>
                      <a:t>3 349 Ks  (10,79 %)</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5B1-4B20-A41B-E154ECB1D297}"/>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List1!$F$8:$F$9</c:f>
              <c:strCache>
                <c:ptCount val="2"/>
                <c:pt idx="0">
                  <c:v>celkový počet zdrojů </c:v>
                </c:pt>
                <c:pt idx="1">
                  <c:v>počet zdrojů v mechanismu kontroly přiměřenosti podpory</c:v>
                </c:pt>
              </c:strCache>
            </c:strRef>
          </c:cat>
          <c:val>
            <c:numRef>
              <c:f>List1!$G$8:$G$9</c:f>
              <c:numCache>
                <c:formatCode>General</c:formatCode>
                <c:ptCount val="2"/>
                <c:pt idx="0">
                  <c:v>31025</c:v>
                </c:pt>
                <c:pt idx="1">
                  <c:v>3349</c:v>
                </c:pt>
              </c:numCache>
            </c:numRef>
          </c:val>
          <c:extLst xmlns:c16r2="http://schemas.microsoft.com/office/drawing/2015/06/chart">
            <c:ext xmlns:c16="http://schemas.microsoft.com/office/drawing/2014/chart" uri="{C3380CC4-5D6E-409C-BE32-E72D297353CC}">
              <c16:uniqueId val="{00000002-95B1-4B20-A41B-E154ECB1D297}"/>
            </c:ext>
          </c:extLst>
        </c:ser>
        <c:dLbls>
          <c:showLegendKey val="0"/>
          <c:showVal val="0"/>
          <c:showCatName val="0"/>
          <c:showSerName val="0"/>
          <c:showPercent val="0"/>
          <c:showBubbleSize val="0"/>
        </c:dLbls>
        <c:gapWidth val="219"/>
        <c:overlap val="-27"/>
        <c:axId val="37252096"/>
        <c:axId val="37253888"/>
      </c:barChart>
      <c:catAx>
        <c:axId val="37252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7253888"/>
        <c:crosses val="autoZero"/>
        <c:auto val="1"/>
        <c:lblAlgn val="ctr"/>
        <c:lblOffset val="100"/>
        <c:noMultiLvlLbl val="0"/>
      </c:catAx>
      <c:valAx>
        <c:axId val="37253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72520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200" b="1"/>
              <a:t>Celkově vyplacená podpora elektřiny z OZE v roce 2015 a její rozdělení na zdroje spadající/nespadající</a:t>
            </a:r>
            <a:r>
              <a:rPr lang="cs-CZ" sz="1200" b="1" baseline="0"/>
              <a:t> do</a:t>
            </a:r>
            <a:r>
              <a:rPr lang="cs-CZ" sz="1200" b="1"/>
              <a:t> mechanismu kontroly</a:t>
            </a:r>
            <a:r>
              <a:rPr lang="cs-CZ" sz="1200" b="1" baseline="0"/>
              <a:t> přiměřenosti podpory</a:t>
            </a:r>
            <a:endParaRPr lang="cs-CZ" sz="1200" b="1"/>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Lbl>
              <c:idx val="0"/>
              <c:tx>
                <c:rich>
                  <a:bodyPr/>
                  <a:lstStyle/>
                  <a:p>
                    <a:r>
                      <a:rPr lang="en-US"/>
                      <a:t>41,09 mld. Kč</a:t>
                    </a:r>
                    <a:r>
                      <a:rPr lang="en-US" baseline="0"/>
                      <a:t>  (100 %)</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4117-4282-BBB0-B1CBEF671E49}"/>
                </c:ext>
                <c:ext xmlns:c15="http://schemas.microsoft.com/office/drawing/2012/chart" uri="{CE6537A1-D6FC-4f65-9D91-7224C49458BB}"/>
              </c:extLst>
            </c:dLbl>
            <c:dLbl>
              <c:idx val="1"/>
              <c:tx>
                <c:rich>
                  <a:bodyPr/>
                  <a:lstStyle/>
                  <a:p>
                    <a:r>
                      <a:rPr lang="en-US"/>
                      <a:t>36,64 mld. Kč  (89,2 %)</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117-4282-BBB0-B1CBEF671E49}"/>
                </c:ext>
                <c:ext xmlns:c15="http://schemas.microsoft.com/office/drawing/2012/chart" uri="{CE6537A1-D6FC-4f65-9D91-7224C49458BB}"/>
              </c:extLst>
            </c:dLbl>
            <c:dLbl>
              <c:idx val="2"/>
              <c:tx>
                <c:rich>
                  <a:bodyPr/>
                  <a:lstStyle/>
                  <a:p>
                    <a:r>
                      <a:rPr lang="en-US"/>
                      <a:t>3,36 mld. Kč  (10,8 %)</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4117-4282-BBB0-B1CBEF671E49}"/>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List1!$F$24:$F$26</c:f>
              <c:strCache>
                <c:ptCount val="3"/>
                <c:pt idx="0">
                  <c:v>podpora pro všechny zdroje </c:v>
                </c:pt>
                <c:pt idx="1">
                  <c:v>podpora pro zdroje spadající do mechanismu kontroly</c:v>
                </c:pt>
                <c:pt idx="2">
                  <c:v>podpora pro zdroje nespadající do mechanismu podpory</c:v>
                </c:pt>
              </c:strCache>
            </c:strRef>
          </c:cat>
          <c:val>
            <c:numRef>
              <c:f>List1!$G$24:$G$26</c:f>
              <c:numCache>
                <c:formatCode>General</c:formatCode>
                <c:ptCount val="3"/>
                <c:pt idx="0">
                  <c:v>41.09</c:v>
                </c:pt>
                <c:pt idx="1">
                  <c:v>38.200000000000003</c:v>
                </c:pt>
                <c:pt idx="2">
                  <c:v>2.8900000000000006</c:v>
                </c:pt>
              </c:numCache>
            </c:numRef>
          </c:val>
          <c:extLst xmlns:c16r2="http://schemas.microsoft.com/office/drawing/2015/06/chart">
            <c:ext xmlns:c16="http://schemas.microsoft.com/office/drawing/2014/chart" uri="{C3380CC4-5D6E-409C-BE32-E72D297353CC}">
              <c16:uniqueId val="{00000003-4117-4282-BBB0-B1CBEF671E49}"/>
            </c:ext>
          </c:extLst>
        </c:ser>
        <c:dLbls>
          <c:showLegendKey val="0"/>
          <c:showVal val="0"/>
          <c:showCatName val="0"/>
          <c:showSerName val="0"/>
          <c:showPercent val="0"/>
          <c:showBubbleSize val="0"/>
        </c:dLbls>
        <c:gapWidth val="219"/>
        <c:overlap val="-27"/>
        <c:axId val="37320960"/>
        <c:axId val="37339136"/>
      </c:barChart>
      <c:catAx>
        <c:axId val="37320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7339136"/>
        <c:crosses val="autoZero"/>
        <c:auto val="1"/>
        <c:lblAlgn val="ctr"/>
        <c:lblOffset val="100"/>
        <c:noMultiLvlLbl val="0"/>
      </c:catAx>
      <c:valAx>
        <c:axId val="373391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73209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16A05-B276-4889-8F24-E43AD0406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18568</Words>
  <Characters>109556</Characters>
  <Application>Microsoft Office Word</Application>
  <DocSecurity>0</DocSecurity>
  <Lines>912</Lines>
  <Paragraphs>255</Paragraphs>
  <ScaleCrop>false</ScaleCrop>
  <HeadingPairs>
    <vt:vector size="2" baseType="variant">
      <vt:variant>
        <vt:lpstr>Název</vt:lpstr>
      </vt:variant>
      <vt:variant>
        <vt:i4>1</vt:i4>
      </vt:variant>
    </vt:vector>
  </HeadingPairs>
  <TitlesOfParts>
    <vt:vector size="1" baseType="lpstr">
      <vt:lpstr/>
    </vt:vector>
  </TitlesOfParts>
  <Company>Ministerstvo průmyslu a obchodu</Company>
  <LinksUpToDate>false</LinksUpToDate>
  <CharactersWithSpaces>127869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Jirasek Pavel</dc:creator>
  <cp:lastModifiedBy>Kristýna Vojtíšková</cp:lastModifiedBy>
  <cp:revision>2</cp:revision>
  <cp:lastPrinted>2017-04-28T10:11:00Z</cp:lastPrinted>
  <dcterms:created xsi:type="dcterms:W3CDTF">2017-06-01T13:31:00Z</dcterms:created>
  <dcterms:modified xsi:type="dcterms:W3CDTF">2017-06-01T13:31:00Z</dcterms:modified>
</cp:coreProperties>
</file>